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6617" w:rsidRPr="00FB6617" w:rsidRDefault="00FB6617" w:rsidP="00FB6617">
      <w:pPr>
        <w:pStyle w:val="aa"/>
        <w:widowControl w:val="0"/>
        <w:pBdr>
          <w:top w:val="none" w:sz="0" w:space="0" w:color="auto"/>
          <w:left w:val="none" w:sz="0" w:space="0" w:color="auto"/>
          <w:bottom w:val="none" w:sz="0" w:space="0" w:color="auto"/>
          <w:right w:val="none" w:sz="0" w:space="0" w:color="auto"/>
          <w:between w:val="none" w:sz="0" w:space="0" w:color="auto"/>
        </w:pBdr>
        <w:tabs>
          <w:tab w:val="clear" w:pos="4513"/>
          <w:tab w:val="clear" w:pos="9026"/>
          <w:tab w:val="center" w:pos="4252"/>
          <w:tab w:val="right" w:pos="8504"/>
          <w:tab w:val="right" w:pos="9781"/>
        </w:tabs>
        <w:wordWrap w:val="0"/>
        <w:autoSpaceDE w:val="0"/>
        <w:autoSpaceDN w:val="0"/>
        <w:spacing w:after="0"/>
        <w:ind w:right="-58"/>
        <w:jc w:val="both"/>
        <w:rPr>
          <w:rFonts w:ascii="Arial" w:eastAsia="돋움" w:hAnsi="Arial" w:cs="Arial"/>
          <w:b/>
          <w:bCs/>
          <w:kern w:val="2"/>
          <w:sz w:val="24"/>
          <w:szCs w:val="24"/>
          <w:lang w:val="en-US"/>
        </w:rPr>
      </w:pPr>
      <w:bookmarkStart w:id="0" w:name="gjdgxs" w:colFirst="0" w:colLast="0"/>
      <w:bookmarkEnd w:id="0"/>
      <w:r w:rsidRPr="00FB6617">
        <w:rPr>
          <w:rFonts w:ascii="Arial" w:eastAsia="돋움" w:hAnsi="Arial" w:cs="Arial"/>
          <w:b/>
          <w:bCs/>
          <w:kern w:val="2"/>
          <w:sz w:val="24"/>
          <w:szCs w:val="24"/>
          <w:lang w:val="en-US"/>
        </w:rPr>
        <w:t>3GPP TSG RAN WG4</w:t>
      </w:r>
      <w:r w:rsidRPr="00FB6617">
        <w:rPr>
          <w:rFonts w:ascii="Arial" w:eastAsia="돋움" w:hAnsi="Arial" w:cs="Arial" w:hint="eastAsia"/>
          <w:b/>
          <w:bCs/>
          <w:kern w:val="2"/>
          <w:sz w:val="24"/>
          <w:szCs w:val="24"/>
          <w:lang w:val="en-US"/>
        </w:rPr>
        <w:t xml:space="preserve"> </w:t>
      </w:r>
      <w:r w:rsidRPr="00FB6617">
        <w:rPr>
          <w:rFonts w:ascii="Arial" w:eastAsia="돋움" w:hAnsi="Arial" w:cs="Arial"/>
          <w:b/>
          <w:bCs/>
          <w:kern w:val="2"/>
          <w:sz w:val="24"/>
          <w:szCs w:val="24"/>
          <w:lang w:val="en-US"/>
        </w:rPr>
        <w:t>#87 Meeting</w:t>
      </w:r>
      <w:r w:rsidRPr="00FB6617">
        <w:rPr>
          <w:rFonts w:ascii="Arial" w:eastAsia="돋움" w:hAnsi="Arial" w:cs="Arial" w:hint="eastAsia"/>
          <w:b/>
          <w:bCs/>
          <w:kern w:val="2"/>
          <w:sz w:val="24"/>
          <w:szCs w:val="24"/>
          <w:lang w:val="en-US"/>
        </w:rPr>
        <w:t xml:space="preserve">                  </w:t>
      </w:r>
      <w:r w:rsidRPr="00FB6617">
        <w:rPr>
          <w:rFonts w:ascii="Arial" w:eastAsia="돋움" w:hAnsi="Arial" w:cs="Arial" w:hint="eastAsia"/>
          <w:b/>
          <w:bCs/>
          <w:kern w:val="2"/>
          <w:sz w:val="24"/>
          <w:szCs w:val="24"/>
          <w:lang w:val="en-US"/>
        </w:rPr>
        <w:tab/>
      </w:r>
      <w:r w:rsidRPr="00FB6617">
        <w:rPr>
          <w:rFonts w:ascii="Arial" w:eastAsia="돋움" w:hAnsi="Arial" w:cs="Arial"/>
          <w:b/>
          <w:bCs/>
          <w:kern w:val="2"/>
          <w:sz w:val="24"/>
          <w:szCs w:val="24"/>
          <w:lang w:val="en-US"/>
        </w:rPr>
        <w:t>R4-</w:t>
      </w:r>
      <w:r w:rsidRPr="00FB6617">
        <w:rPr>
          <w:rFonts w:ascii="Arial" w:eastAsia="돋움" w:hAnsi="Arial" w:cs="Arial" w:hint="eastAsia"/>
          <w:b/>
          <w:bCs/>
          <w:kern w:val="2"/>
          <w:sz w:val="24"/>
          <w:szCs w:val="24"/>
          <w:lang w:val="en-US"/>
        </w:rPr>
        <w:t>1</w:t>
      </w:r>
      <w:r w:rsidR="003B74FE">
        <w:rPr>
          <w:rFonts w:ascii="Arial" w:eastAsia="돋움" w:hAnsi="Arial" w:cs="Arial"/>
          <w:b/>
          <w:bCs/>
          <w:kern w:val="2"/>
          <w:sz w:val="24"/>
          <w:szCs w:val="24"/>
          <w:lang w:val="en-US"/>
        </w:rPr>
        <w:t>806681</w:t>
      </w:r>
    </w:p>
    <w:p w:rsidR="00FB6617" w:rsidRPr="00FB6617" w:rsidRDefault="00FB6617" w:rsidP="00FB6617">
      <w:pPr>
        <w:pStyle w:val="aa"/>
        <w:widowControl w:val="0"/>
        <w:pBdr>
          <w:top w:val="none" w:sz="0" w:space="0" w:color="auto"/>
          <w:left w:val="none" w:sz="0" w:space="0" w:color="auto"/>
          <w:bottom w:val="none" w:sz="0" w:space="0" w:color="auto"/>
          <w:right w:val="none" w:sz="0" w:space="0" w:color="auto"/>
          <w:between w:val="none" w:sz="0" w:space="0" w:color="auto"/>
        </w:pBdr>
        <w:tabs>
          <w:tab w:val="clear" w:pos="4513"/>
          <w:tab w:val="clear" w:pos="9026"/>
          <w:tab w:val="center" w:pos="4252"/>
          <w:tab w:val="right" w:pos="8504"/>
          <w:tab w:val="right" w:pos="9781"/>
        </w:tabs>
        <w:wordWrap w:val="0"/>
        <w:autoSpaceDE w:val="0"/>
        <w:autoSpaceDN w:val="0"/>
        <w:spacing w:after="0"/>
        <w:ind w:right="-58"/>
        <w:jc w:val="both"/>
        <w:rPr>
          <w:rFonts w:ascii="Arial" w:eastAsia="돋움" w:hAnsi="Arial" w:cs="Arial"/>
          <w:b/>
          <w:bCs/>
          <w:kern w:val="2"/>
          <w:sz w:val="24"/>
          <w:szCs w:val="24"/>
          <w:lang w:val="en-US"/>
        </w:rPr>
      </w:pPr>
      <w:r w:rsidRPr="00FB6617">
        <w:rPr>
          <w:rFonts w:ascii="Arial" w:eastAsia="돋움" w:hAnsi="Arial" w:cs="Arial"/>
          <w:b/>
          <w:bCs/>
          <w:kern w:val="2"/>
          <w:sz w:val="24"/>
          <w:szCs w:val="24"/>
          <w:lang w:val="en-US"/>
        </w:rPr>
        <w:t>Busan, Republic of Korea, 21 – 25 May, 2018</w:t>
      </w:r>
    </w:p>
    <w:p w:rsidR="00FB6617" w:rsidRPr="00A85269" w:rsidRDefault="00FB6617" w:rsidP="00FB6617">
      <w:pPr>
        <w:rPr>
          <w:rFonts w:ascii="Arial" w:eastAsia="맑은 고딕" w:hAnsi="Arial" w:cs="Arial"/>
          <w:color w:val="0000FF"/>
          <w:kern w:val="2"/>
          <w:sz w:val="24"/>
          <w:lang w:val="en-US"/>
        </w:rPr>
      </w:pPr>
    </w:p>
    <w:p w:rsidR="00FB6617" w:rsidRPr="00FB6617" w:rsidRDefault="00FB6617" w:rsidP="00FB6617">
      <w:pPr>
        <w:pStyle w:val="3"/>
        <w:keepNext w:val="0"/>
        <w:keepLines w:val="0"/>
        <w:widowControl w:val="0"/>
        <w:pBdr>
          <w:top w:val="none" w:sz="0" w:space="0" w:color="auto"/>
          <w:left w:val="none" w:sz="0" w:space="0" w:color="auto"/>
          <w:bottom w:val="none" w:sz="0" w:space="0" w:color="auto"/>
          <w:right w:val="none" w:sz="0" w:space="0" w:color="auto"/>
          <w:between w:val="none" w:sz="0" w:space="0" w:color="auto"/>
        </w:pBdr>
        <w:tabs>
          <w:tab w:val="left" w:pos="360"/>
          <w:tab w:val="left" w:pos="1710"/>
        </w:tabs>
        <w:autoSpaceDE w:val="0"/>
        <w:autoSpaceDN w:val="0"/>
        <w:adjustRightInd w:val="0"/>
        <w:spacing w:before="0" w:after="120"/>
        <w:ind w:left="0" w:firstLine="0"/>
        <w:jc w:val="both"/>
        <w:rPr>
          <w:rFonts w:eastAsia="SimSun"/>
          <w:b/>
          <w:bCs/>
          <w:sz w:val="20"/>
          <w:szCs w:val="20"/>
          <w:lang w:val="en-US" w:eastAsia="zh-CN"/>
        </w:rPr>
      </w:pPr>
      <w:r w:rsidRPr="00FB6617">
        <w:rPr>
          <w:rFonts w:eastAsia="SimSun"/>
          <w:b/>
          <w:bCs/>
          <w:sz w:val="20"/>
          <w:szCs w:val="20"/>
          <w:lang w:val="en-US" w:eastAsia="zh-CN"/>
        </w:rPr>
        <w:t>Agenda Item:</w:t>
      </w:r>
      <w:r w:rsidRPr="00FB6617">
        <w:rPr>
          <w:rFonts w:eastAsia="SimSun"/>
          <w:b/>
          <w:bCs/>
          <w:sz w:val="20"/>
          <w:szCs w:val="20"/>
          <w:lang w:val="en-US" w:eastAsia="zh-CN"/>
        </w:rPr>
        <w:tab/>
      </w:r>
      <w:r w:rsidR="003B74FE">
        <w:rPr>
          <w:rFonts w:eastAsia="SimSun"/>
          <w:b/>
          <w:bCs/>
          <w:sz w:val="20"/>
          <w:szCs w:val="20"/>
          <w:lang w:val="en-US" w:eastAsia="zh-CN"/>
        </w:rPr>
        <w:t>7.5</w:t>
      </w:r>
      <w:r w:rsidRPr="00FB6617">
        <w:rPr>
          <w:rFonts w:eastAsia="SimSun"/>
          <w:b/>
          <w:bCs/>
          <w:sz w:val="20"/>
          <w:szCs w:val="20"/>
          <w:lang w:val="en-US" w:eastAsia="zh-CN"/>
        </w:rPr>
        <w:t>.</w:t>
      </w:r>
      <w:r>
        <w:rPr>
          <w:rFonts w:eastAsia="SimSun"/>
          <w:b/>
          <w:bCs/>
          <w:sz w:val="20"/>
          <w:szCs w:val="20"/>
          <w:lang w:val="en-US" w:eastAsia="zh-CN"/>
        </w:rPr>
        <w:t>1</w:t>
      </w:r>
      <w:r w:rsidR="003B74FE">
        <w:rPr>
          <w:rFonts w:eastAsia="SimSun"/>
          <w:b/>
          <w:bCs/>
          <w:sz w:val="20"/>
          <w:szCs w:val="20"/>
          <w:lang w:val="en-US" w:eastAsia="zh-CN"/>
        </w:rPr>
        <w:t>0</w:t>
      </w:r>
    </w:p>
    <w:p w:rsidR="00FB6617" w:rsidRPr="00FB6617" w:rsidRDefault="00FB6617" w:rsidP="00FB6617">
      <w:pPr>
        <w:pStyle w:val="3"/>
        <w:keepNext w:val="0"/>
        <w:keepLines w:val="0"/>
        <w:widowControl w:val="0"/>
        <w:pBdr>
          <w:top w:val="none" w:sz="0" w:space="0" w:color="auto"/>
          <w:left w:val="none" w:sz="0" w:space="0" w:color="auto"/>
          <w:bottom w:val="none" w:sz="0" w:space="0" w:color="auto"/>
          <w:right w:val="none" w:sz="0" w:space="0" w:color="auto"/>
          <w:between w:val="none" w:sz="0" w:space="0" w:color="auto"/>
        </w:pBdr>
        <w:tabs>
          <w:tab w:val="left" w:pos="360"/>
          <w:tab w:val="left" w:pos="1710"/>
        </w:tabs>
        <w:autoSpaceDE w:val="0"/>
        <w:autoSpaceDN w:val="0"/>
        <w:adjustRightInd w:val="0"/>
        <w:spacing w:before="0" w:after="120"/>
        <w:ind w:left="0" w:firstLine="0"/>
        <w:jc w:val="both"/>
        <w:rPr>
          <w:rFonts w:eastAsia="SimSun"/>
          <w:b/>
          <w:bCs/>
          <w:sz w:val="20"/>
          <w:szCs w:val="20"/>
          <w:lang w:val="en-US" w:eastAsia="zh-CN"/>
        </w:rPr>
      </w:pPr>
      <w:r w:rsidRPr="00FB6617">
        <w:rPr>
          <w:rFonts w:eastAsia="SimSun"/>
          <w:b/>
          <w:bCs/>
          <w:sz w:val="20"/>
          <w:szCs w:val="20"/>
          <w:lang w:val="en-US" w:eastAsia="zh-CN"/>
        </w:rPr>
        <w:t>Source:</w:t>
      </w:r>
      <w:r w:rsidRPr="00FB6617">
        <w:rPr>
          <w:rFonts w:eastAsia="SimSun"/>
          <w:b/>
          <w:bCs/>
          <w:sz w:val="20"/>
          <w:szCs w:val="20"/>
          <w:lang w:val="en-US" w:eastAsia="zh-CN"/>
        </w:rPr>
        <w:tab/>
        <w:t>LG Electronics</w:t>
      </w:r>
    </w:p>
    <w:p w:rsidR="00FB6617" w:rsidRPr="00FB6617" w:rsidRDefault="00FB6617" w:rsidP="00FB6617">
      <w:pPr>
        <w:pStyle w:val="3"/>
        <w:keepNext w:val="0"/>
        <w:keepLines w:val="0"/>
        <w:widowControl w:val="0"/>
        <w:pBdr>
          <w:top w:val="none" w:sz="0" w:space="0" w:color="auto"/>
          <w:left w:val="none" w:sz="0" w:space="0" w:color="auto"/>
          <w:bottom w:val="none" w:sz="0" w:space="0" w:color="auto"/>
          <w:right w:val="none" w:sz="0" w:space="0" w:color="auto"/>
          <w:between w:val="none" w:sz="0" w:space="0" w:color="auto"/>
        </w:pBdr>
        <w:tabs>
          <w:tab w:val="left" w:pos="360"/>
          <w:tab w:val="left" w:pos="1710"/>
        </w:tabs>
        <w:autoSpaceDE w:val="0"/>
        <w:autoSpaceDN w:val="0"/>
        <w:adjustRightInd w:val="0"/>
        <w:spacing w:before="0" w:after="120"/>
        <w:ind w:left="0" w:firstLine="0"/>
        <w:jc w:val="both"/>
        <w:rPr>
          <w:rFonts w:eastAsia="SimSun"/>
          <w:b/>
          <w:bCs/>
          <w:sz w:val="20"/>
          <w:szCs w:val="20"/>
          <w:lang w:val="en-US" w:eastAsia="zh-CN"/>
        </w:rPr>
      </w:pPr>
      <w:r w:rsidRPr="00FB6617">
        <w:rPr>
          <w:rFonts w:eastAsia="SimSun"/>
          <w:b/>
          <w:bCs/>
          <w:sz w:val="20"/>
          <w:szCs w:val="20"/>
          <w:lang w:val="en-US" w:eastAsia="zh-CN"/>
        </w:rPr>
        <w:t>Title:</w:t>
      </w:r>
      <w:r w:rsidRPr="00FB6617">
        <w:rPr>
          <w:rFonts w:eastAsia="SimSun"/>
          <w:b/>
          <w:bCs/>
          <w:sz w:val="20"/>
          <w:szCs w:val="20"/>
          <w:lang w:val="en-US" w:eastAsia="zh-CN"/>
        </w:rPr>
        <w:tab/>
      </w:r>
      <w:r>
        <w:rPr>
          <w:rFonts w:eastAsia="SimSun"/>
          <w:b/>
          <w:bCs/>
          <w:sz w:val="20"/>
          <w:szCs w:val="20"/>
          <w:lang w:val="en-US" w:eastAsia="zh-CN"/>
        </w:rPr>
        <w:t>Consideration on 2Rx REFSNES for NR vehicular UE at FR1</w:t>
      </w:r>
    </w:p>
    <w:p w:rsidR="00FB6617" w:rsidRPr="00FB6617" w:rsidRDefault="00FB6617" w:rsidP="00FB6617">
      <w:pPr>
        <w:pStyle w:val="3"/>
        <w:keepNext w:val="0"/>
        <w:keepLines w:val="0"/>
        <w:widowControl w:val="0"/>
        <w:pBdr>
          <w:top w:val="none" w:sz="0" w:space="0" w:color="auto"/>
          <w:left w:val="none" w:sz="0" w:space="0" w:color="auto"/>
          <w:bottom w:val="none" w:sz="0" w:space="0" w:color="auto"/>
          <w:right w:val="none" w:sz="0" w:space="0" w:color="auto"/>
          <w:between w:val="none" w:sz="0" w:space="0" w:color="auto"/>
        </w:pBdr>
        <w:tabs>
          <w:tab w:val="left" w:pos="360"/>
          <w:tab w:val="left" w:pos="1710"/>
        </w:tabs>
        <w:autoSpaceDE w:val="0"/>
        <w:autoSpaceDN w:val="0"/>
        <w:adjustRightInd w:val="0"/>
        <w:spacing w:before="0" w:after="120"/>
        <w:ind w:left="0" w:firstLine="0"/>
        <w:jc w:val="both"/>
        <w:rPr>
          <w:rFonts w:eastAsia="SimSun"/>
          <w:b/>
          <w:bCs/>
          <w:sz w:val="20"/>
          <w:szCs w:val="20"/>
          <w:lang w:val="en-US" w:eastAsia="zh-CN"/>
        </w:rPr>
      </w:pPr>
      <w:r w:rsidRPr="00FB6617">
        <w:rPr>
          <w:rFonts w:eastAsia="SimSun"/>
          <w:b/>
          <w:bCs/>
          <w:sz w:val="20"/>
          <w:szCs w:val="20"/>
          <w:lang w:val="en-US" w:eastAsia="zh-CN"/>
        </w:rPr>
        <w:t>Document for:</w:t>
      </w:r>
      <w:r w:rsidRPr="00FB6617">
        <w:rPr>
          <w:rFonts w:eastAsia="SimSun"/>
          <w:b/>
          <w:bCs/>
          <w:sz w:val="20"/>
          <w:szCs w:val="20"/>
          <w:lang w:val="en-US" w:eastAsia="zh-CN"/>
        </w:rPr>
        <w:tab/>
        <w:t>Approval</w:t>
      </w:r>
    </w:p>
    <w:p w:rsidR="004222A0" w:rsidRDefault="007627E0">
      <w:pPr>
        <w:pStyle w:val="1"/>
        <w:numPr>
          <w:ilvl w:val="0"/>
          <w:numId w:val="4"/>
        </w:numPr>
        <w:jc w:val="both"/>
        <w:rPr>
          <w:sz w:val="32"/>
          <w:szCs w:val="32"/>
        </w:rPr>
      </w:pPr>
      <w:r>
        <w:rPr>
          <w:sz w:val="32"/>
          <w:szCs w:val="32"/>
        </w:rPr>
        <w:t>Introduction</w:t>
      </w:r>
    </w:p>
    <w:p w:rsidR="004222A0" w:rsidRDefault="007627E0">
      <w:pPr>
        <w:jc w:val="both"/>
        <w:rPr>
          <w:rFonts w:ascii="Calibri" w:eastAsia="Calibri" w:hAnsi="Calibri" w:cs="Calibri"/>
          <w:sz w:val="22"/>
          <w:szCs w:val="22"/>
        </w:rPr>
      </w:pPr>
      <w:r>
        <w:rPr>
          <w:rFonts w:ascii="Calibri" w:eastAsia="Calibri" w:hAnsi="Calibri" w:cs="Calibri"/>
          <w:sz w:val="22"/>
          <w:szCs w:val="22"/>
        </w:rPr>
        <w:t>This contribution discusses the minimum number of RX antenna elements</w:t>
      </w:r>
      <w:r w:rsidR="00FB6617">
        <w:rPr>
          <w:rFonts w:ascii="Calibri" w:eastAsia="Calibri" w:hAnsi="Calibri" w:cs="Calibri"/>
          <w:sz w:val="22"/>
          <w:szCs w:val="22"/>
        </w:rPr>
        <w:t xml:space="preserve"> for New Radio (NR) vehicle UEs which was triggered by 5GAA LS on </w:t>
      </w:r>
      <w:r w:rsidR="00FB6617">
        <w:rPr>
          <w:rFonts w:ascii="Arial" w:hAnsi="Arial" w:cs="Arial"/>
        </w:rPr>
        <w:t>minimum number of RX antennae for NR vehicular UEs</w:t>
      </w:r>
      <w:r w:rsidR="001434ED">
        <w:rPr>
          <w:rFonts w:ascii="Arial" w:hAnsi="Arial" w:cs="Arial"/>
        </w:rPr>
        <w:t xml:space="preserve"> [1]</w:t>
      </w:r>
      <w:r w:rsidR="00FB6617">
        <w:rPr>
          <w:rFonts w:ascii="Calibri" w:eastAsia="Calibri" w:hAnsi="Calibri" w:cs="Calibri"/>
          <w:sz w:val="22"/>
          <w:szCs w:val="22"/>
        </w:rPr>
        <w:t xml:space="preserve"> as below</w:t>
      </w:r>
    </w:p>
    <w:p w:rsidR="00FB6617" w:rsidRPr="00FB6617" w:rsidRDefault="00FB6617" w:rsidP="00FB6617">
      <w:pPr>
        <w:pStyle w:val="ad"/>
        <w:numPr>
          <w:ilvl w:val="0"/>
          <w:numId w:val="5"/>
        </w:numPr>
        <w:ind w:leftChars="0"/>
        <w:jc w:val="both"/>
        <w:rPr>
          <w:rFonts w:ascii="Calibri" w:hAnsi="Calibri" w:cs="Calibri"/>
          <w:sz w:val="22"/>
          <w:szCs w:val="22"/>
        </w:rPr>
      </w:pPr>
      <w:r>
        <w:rPr>
          <w:rFonts w:ascii="Arial" w:hAnsi="Arial" w:cs="Arial"/>
        </w:rPr>
        <w:t xml:space="preserve">In summary, 5GAA sees the </w:t>
      </w:r>
      <w:r w:rsidRPr="00FB6617">
        <w:rPr>
          <w:rFonts w:ascii="Arial" w:hAnsi="Arial" w:cs="Arial"/>
          <w:color w:val="FF0000"/>
        </w:rPr>
        <w:t xml:space="preserve">necessity of allowing the use of 2 RX antennae exceptionally for </w:t>
      </w:r>
      <w:proofErr w:type="spellStart"/>
      <w:r w:rsidRPr="00FB6617">
        <w:rPr>
          <w:rFonts w:ascii="Arial" w:hAnsi="Arial" w:cs="Arial"/>
          <w:color w:val="FF0000"/>
        </w:rPr>
        <w:t>Uu</w:t>
      </w:r>
      <w:proofErr w:type="spellEnd"/>
      <w:r w:rsidRPr="00FB6617">
        <w:rPr>
          <w:rFonts w:ascii="Arial" w:hAnsi="Arial" w:cs="Arial"/>
          <w:color w:val="FF0000"/>
        </w:rPr>
        <w:t xml:space="preserve"> interface of vehicular NR UEs </w:t>
      </w:r>
      <w:r w:rsidRPr="008A1993">
        <w:rPr>
          <w:rFonts w:ascii="Arial" w:hAnsi="Arial" w:cs="Arial"/>
        </w:rPr>
        <w:t>operating on bands below 6GHz</w:t>
      </w:r>
      <w:r>
        <w:rPr>
          <w:rFonts w:ascii="Arial" w:hAnsi="Arial" w:cs="Arial"/>
        </w:rPr>
        <w:t xml:space="preserve">. </w:t>
      </w:r>
      <w:r w:rsidRPr="008A1993">
        <w:rPr>
          <w:rFonts w:ascii="Arial" w:hAnsi="Arial" w:cs="Arial"/>
        </w:rPr>
        <w:t>5GAA see</w:t>
      </w:r>
      <w:r>
        <w:rPr>
          <w:rFonts w:ascii="Arial" w:hAnsi="Arial" w:cs="Arial"/>
        </w:rPr>
        <w:t>s</w:t>
      </w:r>
      <w:r w:rsidRPr="008A1993">
        <w:rPr>
          <w:rFonts w:ascii="Arial" w:hAnsi="Arial" w:cs="Arial"/>
        </w:rPr>
        <w:t xml:space="preserve"> an advantage if the whole sub 6GHz band is part of this </w:t>
      </w:r>
      <w:r w:rsidRPr="00783747">
        <w:rPr>
          <w:rFonts w:ascii="Arial" w:hAnsi="Arial" w:cs="Arial"/>
        </w:rPr>
        <w:t>exception</w:t>
      </w:r>
      <w:r w:rsidRPr="008A1993">
        <w:rPr>
          <w:rFonts w:ascii="Arial" w:hAnsi="Arial" w:cs="Arial"/>
        </w:rPr>
        <w:t>, but 5GAA has not evaluated the link budget implications of such an assumption.</w:t>
      </w:r>
    </w:p>
    <w:p w:rsidR="00FB6617" w:rsidRPr="00FB6617" w:rsidRDefault="00FB6617" w:rsidP="00FB6617">
      <w:pPr>
        <w:pStyle w:val="ad"/>
        <w:numPr>
          <w:ilvl w:val="0"/>
          <w:numId w:val="5"/>
        </w:numPr>
        <w:ind w:leftChars="0"/>
        <w:jc w:val="both"/>
        <w:rPr>
          <w:rFonts w:ascii="Calibri" w:hAnsi="Calibri" w:cs="Calibri"/>
          <w:sz w:val="22"/>
          <w:szCs w:val="22"/>
        </w:rPr>
      </w:pPr>
      <w:r w:rsidRPr="00E05481">
        <w:rPr>
          <w:rFonts w:ascii="Arial" w:hAnsi="Arial" w:cs="Arial" w:hint="eastAsia"/>
          <w:b/>
        </w:rPr>
        <w:t xml:space="preserve">To 3GPP </w:t>
      </w:r>
      <w:r w:rsidRPr="00E05481">
        <w:rPr>
          <w:rFonts w:ascii="Arial" w:hAnsi="Arial" w:cs="Arial"/>
          <w:b/>
        </w:rPr>
        <w:t xml:space="preserve">TSG </w:t>
      </w:r>
      <w:r w:rsidRPr="00B5098C">
        <w:rPr>
          <w:rFonts w:ascii="Arial" w:hAnsi="Arial" w:cs="Arial" w:hint="eastAsia"/>
          <w:b/>
        </w:rPr>
        <w:t>RAN and RAN</w:t>
      </w:r>
      <w:r>
        <w:rPr>
          <w:rFonts w:ascii="Arial" w:hAnsi="Arial" w:cs="Arial"/>
          <w:b/>
        </w:rPr>
        <w:t>4</w:t>
      </w:r>
      <w:r w:rsidRPr="00E05481">
        <w:rPr>
          <w:rFonts w:ascii="Arial" w:hAnsi="Arial" w:cs="Arial"/>
          <w:b/>
        </w:rPr>
        <w:t>:</w:t>
      </w:r>
      <w:r>
        <w:rPr>
          <w:rFonts w:ascii="Arial" w:hAnsi="Arial" w:cs="Arial"/>
        </w:rPr>
        <w:t xml:space="preserve"> 5GAA WGs </w:t>
      </w:r>
      <w:r w:rsidRPr="008A1993">
        <w:rPr>
          <w:rFonts w:ascii="Arial" w:hAnsi="Arial" w:cs="Arial"/>
        </w:rPr>
        <w:t xml:space="preserve">respectfully ask 3GPP to </w:t>
      </w:r>
      <w:r>
        <w:rPr>
          <w:rFonts w:ascii="Arial" w:hAnsi="Arial" w:cs="Arial"/>
        </w:rPr>
        <w:t xml:space="preserve">allow the use of 2 RX antennae exceptionally for </w:t>
      </w:r>
      <w:proofErr w:type="spellStart"/>
      <w:r>
        <w:rPr>
          <w:rFonts w:ascii="Arial" w:hAnsi="Arial" w:cs="Arial"/>
        </w:rPr>
        <w:t>Uu</w:t>
      </w:r>
      <w:proofErr w:type="spellEnd"/>
      <w:r>
        <w:rPr>
          <w:rFonts w:ascii="Arial" w:hAnsi="Arial" w:cs="Arial"/>
        </w:rPr>
        <w:t xml:space="preserve"> interface of vehicular NR UEs </w:t>
      </w:r>
      <w:r w:rsidRPr="008A1993">
        <w:rPr>
          <w:rFonts w:ascii="Arial" w:hAnsi="Arial" w:cs="Arial"/>
        </w:rPr>
        <w:t>operating on bands below 6GHz</w:t>
      </w:r>
      <w:r>
        <w:rPr>
          <w:rFonts w:ascii="Arial" w:hAnsi="Arial" w:cs="Arial"/>
        </w:rPr>
        <w:t>.</w:t>
      </w:r>
    </w:p>
    <w:p w:rsidR="004222A0" w:rsidRDefault="007627E0">
      <w:pPr>
        <w:jc w:val="both"/>
        <w:rPr>
          <w:rFonts w:ascii="Calibri" w:eastAsia="Calibri" w:hAnsi="Calibri" w:cs="Calibri"/>
          <w:sz w:val="22"/>
          <w:szCs w:val="22"/>
        </w:rPr>
      </w:pPr>
      <w:r>
        <w:rPr>
          <w:rFonts w:ascii="Calibri" w:eastAsia="Calibri" w:hAnsi="Calibri" w:cs="Calibri"/>
          <w:sz w:val="22"/>
          <w:szCs w:val="22"/>
        </w:rPr>
        <w:t xml:space="preserve"> </w:t>
      </w:r>
      <w:r w:rsidR="003B74FE">
        <w:rPr>
          <w:rFonts w:ascii="Calibri" w:eastAsia="Calibri" w:hAnsi="Calibri" w:cs="Calibri"/>
          <w:sz w:val="22"/>
          <w:szCs w:val="22"/>
        </w:rPr>
        <w:t>So, In paper, we show the previous RAN agreements and cell coverage issues according to the number of Rx between smart phone UE and vehicle mounted UE.</w:t>
      </w:r>
    </w:p>
    <w:p w:rsidR="004222A0" w:rsidRDefault="007627E0">
      <w:pPr>
        <w:pStyle w:val="1"/>
        <w:numPr>
          <w:ilvl w:val="0"/>
          <w:numId w:val="4"/>
        </w:numPr>
        <w:jc w:val="both"/>
        <w:rPr>
          <w:sz w:val="32"/>
          <w:szCs w:val="32"/>
        </w:rPr>
      </w:pPr>
      <w:r>
        <w:rPr>
          <w:sz w:val="32"/>
          <w:szCs w:val="32"/>
        </w:rPr>
        <w:t>Discussion</w:t>
      </w:r>
      <w:r w:rsidR="00FB6617">
        <w:rPr>
          <w:sz w:val="32"/>
          <w:szCs w:val="32"/>
        </w:rPr>
        <w:t xml:space="preserve"> for 2Rx REFSENS</w:t>
      </w:r>
    </w:p>
    <w:p w:rsidR="004222A0" w:rsidRDefault="00FB6617">
      <w:pPr>
        <w:jc w:val="both"/>
        <w:rPr>
          <w:rFonts w:ascii="Calibri" w:eastAsia="Calibri" w:hAnsi="Calibri" w:cs="Calibri"/>
          <w:sz w:val="22"/>
          <w:szCs w:val="22"/>
        </w:rPr>
      </w:pPr>
      <w:r>
        <w:rPr>
          <w:rFonts w:ascii="Calibri" w:eastAsia="Calibri" w:hAnsi="Calibri" w:cs="Calibri"/>
          <w:sz w:val="22"/>
          <w:szCs w:val="22"/>
        </w:rPr>
        <w:t xml:space="preserve">In the #78 RAN plenary, they </w:t>
      </w:r>
      <w:r w:rsidR="00E55C94">
        <w:rPr>
          <w:rFonts w:ascii="Calibri" w:eastAsia="Calibri" w:hAnsi="Calibri" w:cs="Calibri"/>
          <w:sz w:val="22"/>
          <w:szCs w:val="22"/>
        </w:rPr>
        <w:t>agreed about</w:t>
      </w:r>
      <w:r w:rsidR="007627E0">
        <w:rPr>
          <w:rFonts w:ascii="Calibri" w:eastAsia="Calibri" w:hAnsi="Calibri" w:cs="Calibri"/>
          <w:sz w:val="22"/>
          <w:szCs w:val="22"/>
        </w:rPr>
        <w:t xml:space="preserve"> the number of UE receiver antennas in Rel-15 NR</w:t>
      </w:r>
      <w:r>
        <w:rPr>
          <w:rFonts w:ascii="Calibri" w:eastAsia="Calibri" w:hAnsi="Calibri" w:cs="Calibri"/>
          <w:sz w:val="22"/>
          <w:szCs w:val="22"/>
        </w:rPr>
        <w:t xml:space="preserve"> [</w:t>
      </w:r>
      <w:r w:rsidR="001434ED">
        <w:rPr>
          <w:rFonts w:ascii="Calibri" w:eastAsia="Calibri" w:hAnsi="Calibri" w:cs="Calibri"/>
          <w:sz w:val="22"/>
          <w:szCs w:val="22"/>
        </w:rPr>
        <w:t>2</w:t>
      </w:r>
      <w:r w:rsidR="009F23A4">
        <w:rPr>
          <w:rFonts w:ascii="Calibri" w:eastAsia="Calibri" w:hAnsi="Calibri" w:cs="Calibri"/>
          <w:sz w:val="22"/>
          <w:szCs w:val="22"/>
        </w:rPr>
        <w:t>]</w:t>
      </w:r>
      <w:r w:rsidR="007627E0">
        <w:rPr>
          <w:rFonts w:ascii="Calibri" w:eastAsia="Calibri" w:hAnsi="Calibri" w:cs="Calibri"/>
          <w:sz w:val="22"/>
          <w:szCs w:val="22"/>
        </w:rPr>
        <w:t>. To be specific, NR UE supporting NR bands n7, n38, n41, n77, n78, and n79 shall support 4 RX antennas, as yellow-high</w:t>
      </w:r>
      <w:r>
        <w:rPr>
          <w:rFonts w:ascii="Calibri" w:eastAsia="Calibri" w:hAnsi="Calibri" w:cs="Calibri"/>
          <w:sz w:val="22"/>
          <w:szCs w:val="22"/>
        </w:rPr>
        <w:t xml:space="preserve">lighted below. Note some of </w:t>
      </w:r>
      <w:r w:rsidR="007627E0">
        <w:rPr>
          <w:rFonts w:ascii="Calibri" w:eastAsia="Calibri" w:hAnsi="Calibri" w:cs="Calibri"/>
          <w:sz w:val="22"/>
          <w:szCs w:val="22"/>
        </w:rPr>
        <w:t xml:space="preserve">these NR bands can be used for vehicular communications such as telematics or </w:t>
      </w:r>
      <w:proofErr w:type="spellStart"/>
      <w:r w:rsidR="007627E0">
        <w:rPr>
          <w:rFonts w:ascii="Calibri" w:eastAsia="Calibri" w:hAnsi="Calibri" w:cs="Calibri"/>
          <w:sz w:val="22"/>
          <w:szCs w:val="22"/>
        </w:rPr>
        <w:t>Uu</w:t>
      </w:r>
      <w:proofErr w:type="spellEnd"/>
      <w:r w:rsidR="007627E0">
        <w:rPr>
          <w:rFonts w:ascii="Calibri" w:eastAsia="Calibri" w:hAnsi="Calibri" w:cs="Calibri"/>
          <w:sz w:val="22"/>
          <w:szCs w:val="22"/>
        </w:rPr>
        <w:t>-based V2X communications: It is also noteworthy that the 3GPP agreement considers possible exceptions in mandating 4 RX antennas for certain UE types/categories (highlighted in blue) which might include UEs installed in vehicles.</w:t>
      </w:r>
    </w:p>
    <w:tbl>
      <w:tblPr>
        <w:tblStyle w:val="a7"/>
        <w:tblW w:w="901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7"/>
      </w:tblGrid>
      <w:tr w:rsidR="004222A0">
        <w:tc>
          <w:tcPr>
            <w:tcW w:w="9017" w:type="dxa"/>
          </w:tcPr>
          <w:p w:rsidR="004222A0" w:rsidRDefault="007627E0">
            <w:pPr>
              <w:numPr>
                <w:ilvl w:val="0"/>
                <w:numId w:val="1"/>
              </w:numPr>
              <w:ind w:hanging="357"/>
              <w:contextualSpacing/>
              <w:jc w:val="both"/>
              <w:rPr>
                <w:i/>
                <w:highlight w:val="yellow"/>
              </w:rPr>
            </w:pPr>
            <w:r>
              <w:rPr>
                <w:rFonts w:eastAsia="Times New Roman"/>
                <w:i/>
                <w:highlight w:val="yellow"/>
              </w:rPr>
              <w:t>For NR Bands n7, n38, n41, n77, n78, and n79 the UE shall be equipped with 4Rx ports as a baseline</w:t>
            </w:r>
          </w:p>
          <w:p w:rsidR="004222A0" w:rsidRDefault="007627E0">
            <w:pPr>
              <w:numPr>
                <w:ilvl w:val="1"/>
                <w:numId w:val="1"/>
              </w:numPr>
              <w:ind w:hanging="357"/>
              <w:contextualSpacing/>
              <w:jc w:val="both"/>
              <w:rPr>
                <w:i/>
              </w:rPr>
            </w:pPr>
            <w:r>
              <w:rPr>
                <w:rFonts w:eastAsia="Times New Roman"/>
                <w:i/>
              </w:rPr>
              <w:t>Applicability to other NR bands is FFS</w:t>
            </w:r>
          </w:p>
          <w:p w:rsidR="004222A0" w:rsidRDefault="007627E0">
            <w:pPr>
              <w:numPr>
                <w:ilvl w:val="1"/>
                <w:numId w:val="1"/>
              </w:numPr>
              <w:ind w:hanging="357"/>
              <w:contextualSpacing/>
              <w:jc w:val="both"/>
              <w:rPr>
                <w:i/>
              </w:rPr>
            </w:pPr>
            <w:r>
              <w:rPr>
                <w:rFonts w:eastAsia="Times New Roman"/>
                <w:i/>
                <w:highlight w:val="cyan"/>
              </w:rPr>
              <w:t>For certain UE types/categories, some exceptions to this requirement may be applicable in future</w:t>
            </w:r>
          </w:p>
          <w:p w:rsidR="004222A0" w:rsidRDefault="007627E0">
            <w:pPr>
              <w:numPr>
                <w:ilvl w:val="1"/>
                <w:numId w:val="1"/>
              </w:numPr>
              <w:ind w:hanging="357"/>
              <w:contextualSpacing/>
              <w:jc w:val="both"/>
              <w:rPr>
                <w:i/>
              </w:rPr>
            </w:pPr>
            <w:r>
              <w:rPr>
                <w:rFonts w:eastAsia="Times New Roman"/>
                <w:i/>
              </w:rPr>
              <w:t xml:space="preserve">RRC signalling and ASN.1 coding shall be defined in Release 15 such that supported number of UE Rx antenna ports is indicated from UE to the </w:t>
            </w:r>
            <w:proofErr w:type="spellStart"/>
            <w:r>
              <w:rPr>
                <w:rFonts w:eastAsia="Times New Roman"/>
                <w:i/>
              </w:rPr>
              <w:t>eNB</w:t>
            </w:r>
            <w:proofErr w:type="spellEnd"/>
            <w:r>
              <w:rPr>
                <w:rFonts w:eastAsia="Times New Roman"/>
                <w:i/>
              </w:rPr>
              <w:t>/</w:t>
            </w:r>
            <w:proofErr w:type="spellStart"/>
            <w:r>
              <w:rPr>
                <w:rFonts w:eastAsia="Times New Roman"/>
                <w:i/>
              </w:rPr>
              <w:t>gNB</w:t>
            </w:r>
            <w:proofErr w:type="spellEnd"/>
            <w:r>
              <w:rPr>
                <w:rFonts w:eastAsia="Times New Roman"/>
                <w:i/>
              </w:rPr>
              <w:t>.</w:t>
            </w:r>
          </w:p>
          <w:p w:rsidR="004222A0" w:rsidRDefault="007627E0">
            <w:pPr>
              <w:numPr>
                <w:ilvl w:val="2"/>
                <w:numId w:val="1"/>
              </w:numPr>
              <w:contextualSpacing/>
              <w:jc w:val="both"/>
              <w:rPr>
                <w:i/>
              </w:rPr>
            </w:pPr>
            <w:r>
              <w:rPr>
                <w:rFonts w:eastAsia="Times New Roman"/>
                <w:i/>
              </w:rPr>
              <w:t>“4” shall be the lowest value that is allowed to be indicated.</w:t>
            </w:r>
          </w:p>
          <w:p w:rsidR="004222A0" w:rsidRDefault="007627E0">
            <w:pPr>
              <w:numPr>
                <w:ilvl w:val="2"/>
                <w:numId w:val="1"/>
              </w:numPr>
              <w:contextualSpacing/>
              <w:jc w:val="both"/>
              <w:rPr>
                <w:i/>
              </w:rPr>
            </w:pPr>
            <w:r>
              <w:rPr>
                <w:rFonts w:eastAsia="Times New Roman"/>
                <w:i/>
              </w:rPr>
              <w:t xml:space="preserve">The coding shall enable flexibility such that a lower number than 4 could be indicated in the future for the UE types/categories mentioned above as exceptions. </w:t>
            </w:r>
          </w:p>
          <w:p w:rsidR="004222A0" w:rsidRDefault="007627E0">
            <w:pPr>
              <w:numPr>
                <w:ilvl w:val="0"/>
                <w:numId w:val="1"/>
              </w:numPr>
              <w:ind w:hanging="357"/>
              <w:contextualSpacing/>
              <w:jc w:val="both"/>
              <w:rPr>
                <w:i/>
              </w:rPr>
            </w:pPr>
            <w:r>
              <w:rPr>
                <w:rFonts w:eastAsia="Times New Roman"/>
                <w:i/>
              </w:rPr>
              <w:t>UE equipped with 4Rx ports as a baseline shall fulfil all 4Rx demodulation performance requirements defined for downlink data and control</w:t>
            </w:r>
          </w:p>
          <w:p w:rsidR="004222A0" w:rsidRDefault="007627E0">
            <w:pPr>
              <w:numPr>
                <w:ilvl w:val="0"/>
                <w:numId w:val="2"/>
              </w:numPr>
              <w:ind w:hanging="357"/>
              <w:contextualSpacing/>
              <w:jc w:val="both"/>
              <w:rPr>
                <w:i/>
              </w:rPr>
            </w:pPr>
            <w:r>
              <w:rPr>
                <w:rFonts w:eastAsia="Times New Roman"/>
                <w:i/>
              </w:rPr>
              <w:t>Fall back to 2Rx shall be allowed to save power</w:t>
            </w:r>
          </w:p>
          <w:p w:rsidR="004222A0" w:rsidRDefault="007627E0">
            <w:pPr>
              <w:numPr>
                <w:ilvl w:val="0"/>
                <w:numId w:val="2"/>
              </w:numPr>
              <w:ind w:hanging="357"/>
              <w:contextualSpacing/>
              <w:jc w:val="both"/>
              <w:rPr>
                <w:i/>
              </w:rPr>
            </w:pPr>
            <w:r>
              <w:rPr>
                <w:rFonts w:eastAsia="Times New Roman"/>
                <w:i/>
              </w:rPr>
              <w:t>RRM Requirements will be based on 2Rx</w:t>
            </w:r>
          </w:p>
          <w:p w:rsidR="004222A0" w:rsidRDefault="007627E0">
            <w:pPr>
              <w:numPr>
                <w:ilvl w:val="1"/>
                <w:numId w:val="2"/>
              </w:numPr>
              <w:ind w:hanging="357"/>
              <w:contextualSpacing/>
              <w:jc w:val="both"/>
              <w:rPr>
                <w:i/>
              </w:rPr>
            </w:pPr>
            <w:r>
              <w:rPr>
                <w:rFonts w:eastAsia="Times New Roman"/>
                <w:i/>
              </w:rPr>
              <w:t>RLM requirements shall be defined based on both 2Rx and 4Rx</w:t>
            </w:r>
          </w:p>
          <w:p w:rsidR="004222A0" w:rsidRDefault="007627E0">
            <w:pPr>
              <w:numPr>
                <w:ilvl w:val="1"/>
                <w:numId w:val="2"/>
              </w:numPr>
              <w:ind w:hanging="357"/>
              <w:contextualSpacing/>
              <w:jc w:val="both"/>
              <w:rPr>
                <w:i/>
              </w:rPr>
            </w:pPr>
            <w:r>
              <w:rPr>
                <w:rFonts w:eastAsia="Times New Roman"/>
                <w:i/>
              </w:rPr>
              <w:t>The proper antenna connection similar to LTE (defined in A.3.8.1 of TS36.133) will be defined to make 2Rx based RRM tests be applicable to NR UE equipped with 4Rx port.</w:t>
            </w:r>
          </w:p>
          <w:p w:rsidR="004222A0" w:rsidRDefault="007627E0">
            <w:pPr>
              <w:numPr>
                <w:ilvl w:val="0"/>
                <w:numId w:val="2"/>
              </w:numPr>
              <w:spacing w:after="120"/>
              <w:contextualSpacing/>
              <w:jc w:val="both"/>
              <w:rPr>
                <w:i/>
                <w:sz w:val="18"/>
                <w:szCs w:val="18"/>
              </w:rPr>
            </w:pPr>
            <w:r>
              <w:rPr>
                <w:rFonts w:eastAsia="Times New Roman"/>
                <w:i/>
              </w:rPr>
              <w:t>The baseline Rx antenna port assumption for LTE operation for the UE is as defined in 36 series specifications today</w:t>
            </w:r>
          </w:p>
        </w:tc>
      </w:tr>
    </w:tbl>
    <w:p w:rsidR="004222A0" w:rsidRDefault="004222A0">
      <w:pPr>
        <w:jc w:val="both"/>
        <w:rPr>
          <w:rFonts w:ascii="Calibri" w:eastAsia="Calibri" w:hAnsi="Calibri" w:cs="Calibri"/>
          <w:sz w:val="22"/>
          <w:szCs w:val="22"/>
        </w:rPr>
      </w:pPr>
    </w:p>
    <w:p w:rsidR="004222A0" w:rsidRDefault="004222A0">
      <w:pPr>
        <w:jc w:val="both"/>
        <w:rPr>
          <w:rFonts w:ascii="Calibri" w:eastAsia="Calibri" w:hAnsi="Calibri" w:cs="Calibri"/>
          <w:sz w:val="22"/>
          <w:szCs w:val="22"/>
        </w:rPr>
      </w:pPr>
    </w:p>
    <w:p w:rsidR="004222A0" w:rsidRPr="00E55C94" w:rsidRDefault="00583F9B" w:rsidP="00E55C94">
      <w:pPr>
        <w:pStyle w:val="1"/>
        <w:numPr>
          <w:ilvl w:val="0"/>
          <w:numId w:val="4"/>
        </w:numPr>
        <w:jc w:val="both"/>
        <w:rPr>
          <w:sz w:val="32"/>
          <w:szCs w:val="32"/>
        </w:rPr>
      </w:pPr>
      <w:r>
        <w:rPr>
          <w:sz w:val="32"/>
          <w:szCs w:val="32"/>
        </w:rPr>
        <w:t>Analysis on the coverage Impact for the 2Rx NR based vehicle UE</w:t>
      </w:r>
    </w:p>
    <w:p w:rsidR="004222A0" w:rsidRDefault="00E55C94">
      <w:pPr>
        <w:jc w:val="both"/>
        <w:rPr>
          <w:rFonts w:ascii="Calibri" w:eastAsia="Calibri" w:hAnsi="Calibri" w:cs="Calibri"/>
          <w:sz w:val="22"/>
          <w:szCs w:val="22"/>
        </w:rPr>
      </w:pPr>
      <w:r>
        <w:rPr>
          <w:rFonts w:ascii="Calibri" w:eastAsia="Calibri" w:hAnsi="Calibri" w:cs="Calibri"/>
          <w:sz w:val="22"/>
          <w:szCs w:val="22"/>
        </w:rPr>
        <w:t>Based on the RAN agreement,</w:t>
      </w:r>
      <w:r w:rsidR="007627E0">
        <w:rPr>
          <w:rFonts w:ascii="Calibri" w:eastAsia="Calibri" w:hAnsi="Calibri" w:cs="Calibri"/>
          <w:sz w:val="22"/>
          <w:szCs w:val="22"/>
        </w:rPr>
        <w:t xml:space="preserve"> we note the above RAN agreement was </w:t>
      </w:r>
      <w:r>
        <w:rPr>
          <w:rFonts w:ascii="Calibri" w:eastAsia="Calibri" w:hAnsi="Calibri" w:cs="Calibri"/>
          <w:sz w:val="22"/>
          <w:szCs w:val="22"/>
        </w:rPr>
        <w:t>focus on the</w:t>
      </w:r>
      <w:r w:rsidR="007627E0">
        <w:rPr>
          <w:rFonts w:ascii="Calibri" w:eastAsia="Calibri" w:hAnsi="Calibri" w:cs="Calibri"/>
          <w:sz w:val="22"/>
          <w:szCs w:val="22"/>
        </w:rPr>
        <w:t xml:space="preserve"> general hand-held UE requirements. In addition, 3GPP have not discussed any vehicle-specific aspects in the related</w:t>
      </w:r>
      <w:r>
        <w:rPr>
          <w:rFonts w:ascii="Calibri" w:eastAsia="Calibri" w:hAnsi="Calibri" w:cs="Calibri"/>
          <w:sz w:val="22"/>
          <w:szCs w:val="22"/>
        </w:rPr>
        <w:t xml:space="preserve"> NR requirements discussions. If </w:t>
      </w:r>
      <w:r w:rsidR="007627E0">
        <w:rPr>
          <w:rFonts w:ascii="Calibri" w:eastAsia="Calibri" w:hAnsi="Calibri" w:cs="Calibri"/>
          <w:sz w:val="22"/>
          <w:szCs w:val="22"/>
        </w:rPr>
        <w:t xml:space="preserve">those minimum requirements </w:t>
      </w:r>
      <w:r>
        <w:rPr>
          <w:rFonts w:ascii="Calibri" w:eastAsia="Calibri" w:hAnsi="Calibri" w:cs="Calibri"/>
          <w:sz w:val="22"/>
          <w:szCs w:val="22"/>
        </w:rPr>
        <w:t xml:space="preserve">are applied </w:t>
      </w:r>
      <w:r w:rsidR="007627E0">
        <w:rPr>
          <w:rFonts w:ascii="Calibri" w:eastAsia="Calibri" w:hAnsi="Calibri" w:cs="Calibri"/>
          <w:sz w:val="22"/>
          <w:szCs w:val="22"/>
        </w:rPr>
        <w:t xml:space="preserve">to NR </w:t>
      </w:r>
      <w:r w:rsidR="007627E0">
        <w:rPr>
          <w:rFonts w:ascii="Calibri" w:eastAsia="Calibri" w:hAnsi="Calibri" w:cs="Calibri"/>
          <w:i/>
          <w:sz w:val="22"/>
          <w:szCs w:val="22"/>
        </w:rPr>
        <w:t>vehicle</w:t>
      </w:r>
      <w:r w:rsidR="007627E0">
        <w:rPr>
          <w:rFonts w:ascii="Calibri" w:eastAsia="Calibri" w:hAnsi="Calibri" w:cs="Calibri"/>
          <w:sz w:val="22"/>
          <w:szCs w:val="22"/>
        </w:rPr>
        <w:t xml:space="preserve"> UEs (the UEs installed in vehicles for telematics or cellular V2X), </w:t>
      </w:r>
      <w:r>
        <w:rPr>
          <w:rFonts w:ascii="Calibri" w:eastAsia="Calibri" w:hAnsi="Calibri" w:cs="Calibri"/>
          <w:sz w:val="22"/>
          <w:szCs w:val="22"/>
        </w:rPr>
        <w:t>then</w:t>
      </w:r>
      <w:r w:rsidR="007627E0">
        <w:rPr>
          <w:rFonts w:ascii="Calibri" w:eastAsia="Calibri" w:hAnsi="Calibri" w:cs="Calibri"/>
          <w:sz w:val="22"/>
          <w:szCs w:val="22"/>
        </w:rPr>
        <w:t xml:space="preserve"> </w:t>
      </w:r>
      <w:r>
        <w:rPr>
          <w:rFonts w:ascii="Calibri" w:eastAsia="Calibri" w:hAnsi="Calibri" w:cs="Calibri"/>
          <w:sz w:val="22"/>
          <w:szCs w:val="22"/>
        </w:rPr>
        <w:t>estimate</w:t>
      </w:r>
      <w:r w:rsidR="007627E0">
        <w:rPr>
          <w:rFonts w:ascii="Calibri" w:eastAsia="Calibri" w:hAnsi="Calibri" w:cs="Calibri"/>
          <w:sz w:val="22"/>
          <w:szCs w:val="22"/>
        </w:rPr>
        <w:t xml:space="preserve"> the following </w:t>
      </w:r>
      <w:r>
        <w:rPr>
          <w:rFonts w:ascii="Calibri" w:eastAsia="Calibri" w:hAnsi="Calibri" w:cs="Calibri"/>
          <w:sz w:val="22"/>
          <w:szCs w:val="22"/>
        </w:rPr>
        <w:t>observations</w:t>
      </w:r>
      <w:r w:rsidR="007627E0">
        <w:rPr>
          <w:rFonts w:ascii="Calibri" w:eastAsia="Calibri" w:hAnsi="Calibri" w:cs="Calibri"/>
          <w:sz w:val="22"/>
          <w:szCs w:val="22"/>
        </w:rPr>
        <w:t xml:space="preserve"> with respect to roll-out of </w:t>
      </w:r>
      <w:r>
        <w:rPr>
          <w:rFonts w:ascii="Calibri" w:eastAsia="Calibri" w:hAnsi="Calibri" w:cs="Calibri"/>
          <w:sz w:val="22"/>
          <w:szCs w:val="22"/>
        </w:rPr>
        <w:t xml:space="preserve">NR </w:t>
      </w:r>
      <w:r w:rsidR="007627E0">
        <w:rPr>
          <w:rFonts w:ascii="Calibri" w:eastAsia="Calibri" w:hAnsi="Calibri" w:cs="Calibri"/>
          <w:sz w:val="22"/>
          <w:szCs w:val="22"/>
        </w:rPr>
        <w:t>V2X services onwards</w:t>
      </w:r>
      <w:r>
        <w:rPr>
          <w:rFonts w:ascii="Calibri" w:eastAsia="Calibri" w:hAnsi="Calibri" w:cs="Calibri"/>
          <w:sz w:val="22"/>
          <w:szCs w:val="22"/>
        </w:rPr>
        <w:t xml:space="preserve"> for </w:t>
      </w:r>
      <w:proofErr w:type="spellStart"/>
      <w:r>
        <w:rPr>
          <w:rFonts w:ascii="Calibri" w:eastAsia="Calibri" w:hAnsi="Calibri" w:cs="Calibri"/>
          <w:sz w:val="22"/>
          <w:szCs w:val="22"/>
        </w:rPr>
        <w:t>Uu</w:t>
      </w:r>
      <w:proofErr w:type="spellEnd"/>
      <w:r>
        <w:rPr>
          <w:rFonts w:ascii="Calibri" w:eastAsia="Calibri" w:hAnsi="Calibri" w:cs="Calibri"/>
          <w:sz w:val="22"/>
          <w:szCs w:val="22"/>
        </w:rPr>
        <w:t xml:space="preserve"> interface</w:t>
      </w:r>
      <w:r w:rsidR="007627E0">
        <w:rPr>
          <w:rFonts w:ascii="Calibri" w:eastAsia="Calibri" w:hAnsi="Calibri" w:cs="Calibri"/>
          <w:sz w:val="22"/>
          <w:szCs w:val="22"/>
        </w:rPr>
        <w:t xml:space="preserve">. </w:t>
      </w:r>
    </w:p>
    <w:p w:rsidR="004222A0" w:rsidRDefault="00E55C94">
      <w:pPr>
        <w:jc w:val="both"/>
        <w:rPr>
          <w:rFonts w:ascii="Calibri" w:eastAsia="Calibri" w:hAnsi="Calibri" w:cs="Calibri"/>
          <w:sz w:val="22"/>
          <w:szCs w:val="22"/>
        </w:rPr>
      </w:pPr>
      <w:r>
        <w:rPr>
          <w:rFonts w:ascii="Calibri" w:eastAsia="Calibri" w:hAnsi="Calibri" w:cs="Calibri"/>
          <w:sz w:val="22"/>
          <w:szCs w:val="22"/>
        </w:rPr>
        <w:t xml:space="preserve">Basically, </w:t>
      </w:r>
      <w:r>
        <w:rPr>
          <w:rFonts w:ascii="Calibri" w:hAnsi="Calibri" w:cs="Calibri" w:hint="eastAsia"/>
          <w:sz w:val="22"/>
          <w:szCs w:val="22"/>
        </w:rPr>
        <w:t>h</w:t>
      </w:r>
      <w:r w:rsidR="007627E0">
        <w:rPr>
          <w:rFonts w:ascii="Calibri" w:eastAsia="Calibri" w:hAnsi="Calibri" w:cs="Calibri"/>
          <w:sz w:val="22"/>
          <w:szCs w:val="22"/>
        </w:rPr>
        <w:t xml:space="preserve">igher number of RX antenna elements will increase the physical volume of antenna mount to implement them. The current trend is that antenna mount needs to compactly integrate several types of antennas for various </w:t>
      </w:r>
      <w:proofErr w:type="spellStart"/>
      <w:r w:rsidR="007627E0">
        <w:rPr>
          <w:rFonts w:ascii="Calibri" w:eastAsia="Calibri" w:hAnsi="Calibri" w:cs="Calibri"/>
          <w:sz w:val="22"/>
          <w:szCs w:val="22"/>
        </w:rPr>
        <w:t>connectivities</w:t>
      </w:r>
      <w:proofErr w:type="spellEnd"/>
      <w:r w:rsidR="007627E0">
        <w:rPr>
          <w:rFonts w:ascii="Calibri" w:eastAsia="Calibri" w:hAnsi="Calibri" w:cs="Calibri"/>
          <w:sz w:val="22"/>
          <w:szCs w:val="22"/>
        </w:rPr>
        <w:t xml:space="preserve"> such as AM/FM, 3G/4G/5G, and GNSS on vehicles. If the mandated number of RX antenna increases, it may severely restrict the degree of design freedom allowed to OEMs due to the larger implementation space required. </w:t>
      </w:r>
      <w:r w:rsidR="00583F9B">
        <w:rPr>
          <w:rFonts w:ascii="Calibri" w:eastAsia="Calibri" w:hAnsi="Calibri" w:cs="Calibri"/>
          <w:sz w:val="22"/>
          <w:szCs w:val="22"/>
        </w:rPr>
        <w:t>Furthermore, it might be impacted to the target service date for</w:t>
      </w:r>
      <w:r w:rsidR="007627E0">
        <w:rPr>
          <w:rFonts w:ascii="Calibri" w:eastAsia="Calibri" w:hAnsi="Calibri" w:cs="Calibri"/>
          <w:sz w:val="22"/>
          <w:szCs w:val="22"/>
        </w:rPr>
        <w:t xml:space="preserve"> NR based V2X services </w:t>
      </w:r>
      <w:r w:rsidR="00583F9B">
        <w:rPr>
          <w:rFonts w:ascii="Calibri" w:eastAsia="Calibri" w:hAnsi="Calibri" w:cs="Calibri"/>
          <w:sz w:val="22"/>
          <w:szCs w:val="22"/>
        </w:rPr>
        <w:t>due to the above restriction</w:t>
      </w:r>
      <w:r w:rsidR="007627E0">
        <w:rPr>
          <w:rFonts w:ascii="Calibri" w:eastAsia="Calibri" w:hAnsi="Calibri" w:cs="Calibri"/>
          <w:sz w:val="22"/>
          <w:szCs w:val="22"/>
        </w:rPr>
        <w:t xml:space="preserve">. </w:t>
      </w:r>
    </w:p>
    <w:p w:rsidR="00813CD4" w:rsidRDefault="00813CD4">
      <w:pPr>
        <w:jc w:val="both"/>
        <w:rPr>
          <w:rFonts w:ascii="Calibri" w:eastAsia="Calibri" w:hAnsi="Calibri" w:cs="Calibri"/>
          <w:sz w:val="22"/>
          <w:szCs w:val="22"/>
        </w:rPr>
      </w:pPr>
      <w:r>
        <w:rPr>
          <w:rFonts w:ascii="Calibri" w:eastAsia="Calibri" w:hAnsi="Calibri" w:cs="Calibri"/>
          <w:b/>
          <w:sz w:val="22"/>
          <w:szCs w:val="22"/>
        </w:rPr>
        <w:t>Observation 1</w:t>
      </w:r>
      <w:r>
        <w:rPr>
          <w:rFonts w:ascii="Calibri" w:eastAsia="Calibri" w:hAnsi="Calibri" w:cs="Calibri"/>
          <w:sz w:val="22"/>
          <w:szCs w:val="22"/>
        </w:rPr>
        <w:t>: The h</w:t>
      </w:r>
      <w:r w:rsidR="006F480A">
        <w:rPr>
          <w:rFonts w:ascii="Calibri" w:eastAsia="Calibri" w:hAnsi="Calibri" w:cs="Calibri"/>
          <w:sz w:val="22"/>
          <w:szCs w:val="22"/>
        </w:rPr>
        <w:t>igher number of Rx antenna can be</w:t>
      </w:r>
      <w:r>
        <w:rPr>
          <w:rFonts w:ascii="Calibri" w:eastAsia="Calibri" w:hAnsi="Calibri" w:cs="Calibri"/>
          <w:sz w:val="22"/>
          <w:szCs w:val="22"/>
        </w:rPr>
        <w:t xml:space="preserve"> severely restrict</w:t>
      </w:r>
      <w:r w:rsidR="006F480A">
        <w:rPr>
          <w:rFonts w:ascii="Calibri" w:eastAsia="Calibri" w:hAnsi="Calibri" w:cs="Calibri"/>
          <w:sz w:val="22"/>
          <w:szCs w:val="22"/>
        </w:rPr>
        <w:t>ed</w:t>
      </w:r>
      <w:r>
        <w:rPr>
          <w:rFonts w:ascii="Calibri" w:eastAsia="Calibri" w:hAnsi="Calibri" w:cs="Calibri"/>
          <w:sz w:val="22"/>
          <w:szCs w:val="22"/>
        </w:rPr>
        <w:t xml:space="preserve"> the degree of design freedom of </w:t>
      </w:r>
      <w:r w:rsidR="006F480A">
        <w:rPr>
          <w:rFonts w:ascii="Calibri" w:eastAsia="Calibri" w:hAnsi="Calibri" w:cs="Calibri"/>
          <w:sz w:val="22"/>
          <w:szCs w:val="22"/>
        </w:rPr>
        <w:t xml:space="preserve">Car OEMs and might be impacted to the target NR V2X service date for </w:t>
      </w:r>
      <w:proofErr w:type="spellStart"/>
      <w:r w:rsidR="006F480A">
        <w:rPr>
          <w:rFonts w:ascii="Calibri" w:eastAsia="Calibri" w:hAnsi="Calibri" w:cs="Calibri"/>
          <w:sz w:val="22"/>
          <w:szCs w:val="22"/>
        </w:rPr>
        <w:t>Uu</w:t>
      </w:r>
      <w:proofErr w:type="spellEnd"/>
      <w:r w:rsidR="006F480A">
        <w:rPr>
          <w:rFonts w:ascii="Calibri" w:eastAsia="Calibri" w:hAnsi="Calibri" w:cs="Calibri"/>
          <w:sz w:val="22"/>
          <w:szCs w:val="22"/>
        </w:rPr>
        <w:t xml:space="preserve"> interface at FR1.</w:t>
      </w:r>
    </w:p>
    <w:p w:rsidR="00583F9B" w:rsidRDefault="00583F9B">
      <w:pPr>
        <w:jc w:val="both"/>
        <w:rPr>
          <w:rFonts w:ascii="Calibri" w:eastAsia="Calibri" w:hAnsi="Calibri" w:cs="Calibri"/>
          <w:sz w:val="22"/>
          <w:szCs w:val="22"/>
        </w:rPr>
      </w:pPr>
      <w:r>
        <w:rPr>
          <w:rFonts w:ascii="Calibri" w:eastAsia="Calibri" w:hAnsi="Calibri" w:cs="Calibri"/>
          <w:sz w:val="22"/>
          <w:szCs w:val="22"/>
        </w:rPr>
        <w:t xml:space="preserve">One of concerning point for the allowing the 2RX REFSENS for NR based V2X services for </w:t>
      </w:r>
      <w:proofErr w:type="spellStart"/>
      <w:r>
        <w:rPr>
          <w:rFonts w:ascii="Calibri" w:eastAsia="Calibri" w:hAnsi="Calibri" w:cs="Calibri"/>
          <w:sz w:val="22"/>
          <w:szCs w:val="22"/>
        </w:rPr>
        <w:t>Uu</w:t>
      </w:r>
      <w:proofErr w:type="spellEnd"/>
      <w:r>
        <w:rPr>
          <w:rFonts w:ascii="Calibri" w:eastAsia="Calibri" w:hAnsi="Calibri" w:cs="Calibri"/>
          <w:sz w:val="22"/>
          <w:szCs w:val="22"/>
        </w:rPr>
        <w:t xml:space="preserve"> interface is that the coverage of such vehicle UEs is relatively smaller than the intended coverage network want to provide by 4Rx antennas.</w:t>
      </w:r>
      <w:r w:rsidR="00813CD4">
        <w:rPr>
          <w:rFonts w:ascii="Calibri" w:eastAsia="Calibri" w:hAnsi="Calibri" w:cs="Calibri"/>
          <w:sz w:val="22"/>
          <w:szCs w:val="22"/>
        </w:rPr>
        <w:t xml:space="preserve"> So we analyse the cell coverage impacts by 2Rx operation in next section</w:t>
      </w:r>
    </w:p>
    <w:p w:rsidR="00583F9B" w:rsidRPr="00813CD4" w:rsidRDefault="00813CD4" w:rsidP="00813CD4">
      <w:pPr>
        <w:pStyle w:val="2"/>
        <w:numPr>
          <w:ilvl w:val="0"/>
          <w:numId w:val="7"/>
        </w:numPr>
      </w:pPr>
      <w:r>
        <w:t>Coverage analysis for</w:t>
      </w:r>
      <w:r w:rsidR="00583F9B" w:rsidRPr="00813CD4">
        <w:t xml:space="preserve"> 2 RX antennas</w:t>
      </w:r>
    </w:p>
    <w:p w:rsidR="00583F9B" w:rsidRDefault="00583F9B" w:rsidP="00583F9B">
      <w:pPr>
        <w:jc w:val="both"/>
        <w:rPr>
          <w:rFonts w:ascii="Calibri" w:eastAsia="Calibri" w:hAnsi="Calibri" w:cs="Calibri"/>
          <w:sz w:val="22"/>
          <w:szCs w:val="22"/>
        </w:rPr>
      </w:pPr>
      <w:r>
        <w:rPr>
          <w:rFonts w:ascii="Calibri" w:eastAsia="Calibri" w:hAnsi="Calibri" w:cs="Calibri"/>
          <w:sz w:val="22"/>
          <w:szCs w:val="22"/>
        </w:rPr>
        <w:t xml:space="preserve">In 3GPP TR 38.901, the following </w:t>
      </w:r>
      <w:proofErr w:type="spellStart"/>
      <w:r>
        <w:rPr>
          <w:rFonts w:ascii="Calibri" w:eastAsia="Calibri" w:hAnsi="Calibri" w:cs="Calibri"/>
          <w:sz w:val="22"/>
          <w:szCs w:val="22"/>
        </w:rPr>
        <w:t>pathloss</w:t>
      </w:r>
      <w:proofErr w:type="spellEnd"/>
      <w:r>
        <w:rPr>
          <w:rFonts w:ascii="Calibri" w:eastAsia="Calibri" w:hAnsi="Calibri" w:cs="Calibri"/>
          <w:sz w:val="22"/>
          <w:szCs w:val="22"/>
        </w:rPr>
        <w:t xml:space="preserve"> model is used to obtain the effective </w:t>
      </w:r>
      <w:proofErr w:type="spellStart"/>
      <w:r>
        <w:rPr>
          <w:rFonts w:ascii="Calibri" w:eastAsia="Calibri" w:hAnsi="Calibri" w:cs="Calibri"/>
          <w:sz w:val="22"/>
          <w:szCs w:val="22"/>
        </w:rPr>
        <w:t>pathloss</w:t>
      </w:r>
      <w:proofErr w:type="spellEnd"/>
      <w:r>
        <w:rPr>
          <w:rFonts w:ascii="Calibri" w:eastAsia="Calibri" w:hAnsi="Calibri" w:cs="Calibri"/>
          <w:sz w:val="22"/>
          <w:szCs w:val="22"/>
        </w:rPr>
        <w:t xml:space="preserve"> between base station and user equipment (UE) located inside a vehicle:</w:t>
      </w:r>
    </w:p>
    <w:p w:rsidR="00583F9B" w:rsidRPr="006C4555" w:rsidRDefault="00583F9B" w:rsidP="00583F9B">
      <w:pPr>
        <w:jc w:val="both"/>
        <w:rPr>
          <w:i/>
        </w:rPr>
      </w:pPr>
      <m:oMathPara>
        <m:oMath>
          <m:r>
            <w:rPr>
              <w:rFonts w:ascii="Cambria Math" w:eastAsia="맑은 고딕" w:hAnsi="Cambria Math" w:cs="Calibri"/>
              <w:sz w:val="22"/>
              <w:szCs w:val="22"/>
            </w:rPr>
            <m:t>PL=</m:t>
          </m:r>
          <m:sSub>
            <m:sSubPr>
              <m:ctrlPr>
                <w:rPr>
                  <w:rFonts w:ascii="Cambria Math" w:eastAsia="맑은 고딕" w:hAnsi="Cambria Math" w:cs="Calibri"/>
                  <w:i/>
                  <w:sz w:val="22"/>
                  <w:szCs w:val="22"/>
                </w:rPr>
              </m:ctrlPr>
            </m:sSubPr>
            <m:e>
              <m:r>
                <w:rPr>
                  <w:rFonts w:ascii="Cambria Math" w:eastAsia="맑은 고딕" w:hAnsi="Cambria Math" w:cs="Calibri"/>
                  <w:sz w:val="22"/>
                  <w:szCs w:val="22"/>
                </w:rPr>
                <m:t>PL</m:t>
              </m:r>
            </m:e>
            <m:sub>
              <m:r>
                <w:rPr>
                  <w:rFonts w:ascii="Cambria Math" w:eastAsia="맑은 고딕" w:hAnsi="Cambria Math" w:cs="Calibri"/>
                  <w:sz w:val="22"/>
                  <w:szCs w:val="22"/>
                </w:rPr>
                <m:t>b</m:t>
              </m:r>
            </m:sub>
          </m:sSub>
          <m:r>
            <w:rPr>
              <w:rFonts w:ascii="Cambria Math" w:eastAsia="맑은 고딕" w:hAnsi="Cambria Math" w:cs="Calibri"/>
              <w:sz w:val="22"/>
              <w:szCs w:val="22"/>
            </w:rPr>
            <m:t>+P</m:t>
          </m:r>
          <m:sSub>
            <m:sSubPr>
              <m:ctrlPr>
                <w:rPr>
                  <w:rFonts w:ascii="Cambria Math" w:eastAsia="맑은 고딕" w:hAnsi="Cambria Math" w:cs="Calibri"/>
                  <w:i/>
                  <w:sz w:val="22"/>
                  <w:szCs w:val="22"/>
                </w:rPr>
              </m:ctrlPr>
            </m:sSubPr>
            <m:e>
              <m:r>
                <w:rPr>
                  <w:rFonts w:ascii="Cambria Math" w:eastAsia="맑은 고딕" w:hAnsi="Cambria Math" w:cs="Calibri"/>
                  <w:sz w:val="22"/>
                  <w:szCs w:val="22"/>
                </w:rPr>
                <m:t>L</m:t>
              </m:r>
            </m:e>
            <m:sub>
              <m:r>
                <w:rPr>
                  <w:rFonts w:ascii="Cambria Math" w:eastAsia="맑은 고딕" w:hAnsi="Cambria Math" w:cs="Calibri"/>
                  <w:sz w:val="22"/>
                  <w:szCs w:val="22"/>
                </w:rPr>
                <m:t>i</m:t>
              </m:r>
            </m:sub>
          </m:sSub>
        </m:oMath>
      </m:oMathPara>
    </w:p>
    <w:p w:rsidR="00583F9B" w:rsidRDefault="00583F9B" w:rsidP="00583F9B">
      <w:pPr>
        <w:jc w:val="both"/>
        <w:rPr>
          <w:rFonts w:ascii="Calibri" w:eastAsia="Calibri" w:hAnsi="Calibri" w:cs="Calibri"/>
          <w:sz w:val="22"/>
          <w:szCs w:val="22"/>
        </w:rPr>
      </w:pPr>
      <w:r>
        <w:rPr>
          <w:rFonts w:ascii="Calibri" w:eastAsia="Calibri" w:hAnsi="Calibri" w:cs="Calibri"/>
          <w:sz w:val="22"/>
          <w:szCs w:val="22"/>
        </w:rPr>
        <w:t xml:space="preserve">Where </w:t>
      </w:r>
      <m:oMath>
        <m:sSub>
          <m:sSubPr>
            <m:ctrlPr>
              <w:rPr>
                <w:rFonts w:ascii="Cambria Math" w:eastAsia="맑은 고딕" w:hAnsi="Cambria Math" w:cstheme="minorHAnsi"/>
                <w:i/>
                <w:sz w:val="22"/>
                <w:szCs w:val="22"/>
              </w:rPr>
            </m:ctrlPr>
          </m:sSubPr>
          <m:e>
            <m:r>
              <w:rPr>
                <w:rFonts w:ascii="Cambria Math" w:eastAsia="맑은 고딕" w:hAnsi="Cambria Math" w:cstheme="minorHAnsi"/>
                <w:sz w:val="22"/>
                <w:szCs w:val="22"/>
              </w:rPr>
              <m:t>PL</m:t>
            </m:r>
          </m:e>
          <m:sub>
            <m:r>
              <w:rPr>
                <w:rFonts w:ascii="Cambria Math" w:eastAsia="맑은 고딕" w:hAnsi="Cambria Math" w:cstheme="minorHAnsi"/>
                <w:sz w:val="22"/>
                <w:szCs w:val="22"/>
              </w:rPr>
              <m:t>b</m:t>
            </m:r>
          </m:sub>
        </m:sSub>
      </m:oMath>
      <w:r>
        <w:rPr>
          <w:rFonts w:asciiTheme="minorHAnsi" w:eastAsia="맑은 고딕" w:hAnsiTheme="minorHAnsi" w:cstheme="minorHAnsi"/>
          <w:sz w:val="22"/>
          <w:szCs w:val="22"/>
        </w:rPr>
        <w:t> </w:t>
      </w:r>
      <w:r>
        <w:rPr>
          <w:rFonts w:ascii="Calibri" w:eastAsia="Calibri" w:hAnsi="Calibri" w:cs="Calibri"/>
          <w:sz w:val="22"/>
          <w:szCs w:val="22"/>
        </w:rPr>
        <w:t xml:space="preserve">is the basic outdoor path </w:t>
      </w:r>
      <w:proofErr w:type="gramStart"/>
      <w:r>
        <w:rPr>
          <w:rFonts w:ascii="Calibri" w:eastAsia="Calibri" w:hAnsi="Calibri" w:cs="Calibri"/>
          <w:sz w:val="22"/>
          <w:szCs w:val="22"/>
        </w:rPr>
        <w:t>loss  between</w:t>
      </w:r>
      <w:proofErr w:type="gramEnd"/>
      <w:r>
        <w:rPr>
          <w:rFonts w:ascii="Calibri" w:eastAsia="Calibri" w:hAnsi="Calibri" w:cs="Calibri"/>
          <w:sz w:val="22"/>
          <w:szCs w:val="22"/>
        </w:rPr>
        <w:t xml:space="preserve"> base station and </w:t>
      </w:r>
      <w:proofErr w:type="spellStart"/>
      <w:r>
        <w:rPr>
          <w:rFonts w:ascii="Calibri" w:eastAsia="Calibri" w:hAnsi="Calibri" w:cs="Calibri"/>
          <w:sz w:val="22"/>
          <w:szCs w:val="22"/>
        </w:rPr>
        <w:t>UEe</w:t>
      </w:r>
      <w:proofErr w:type="spellEnd"/>
      <w:r>
        <w:rPr>
          <w:rFonts w:ascii="Calibri" w:eastAsia="Calibri" w:hAnsi="Calibri" w:cs="Calibri"/>
          <w:sz w:val="22"/>
          <w:szCs w:val="22"/>
        </w:rPr>
        <w:t xml:space="preserve">, and </w:t>
      </w:r>
      <m:oMath>
        <m:sSub>
          <m:sSubPr>
            <m:ctrlPr>
              <w:rPr>
                <w:rFonts w:ascii="Cambria Math" w:eastAsia="Calibri" w:hAnsi="Cambria Math" w:cs="Calibri"/>
                <w:i/>
                <w:sz w:val="22"/>
                <w:szCs w:val="22"/>
              </w:rPr>
            </m:ctrlPr>
          </m:sSubPr>
          <m:e>
            <m:r>
              <w:rPr>
                <w:rFonts w:ascii="Cambria Math" w:eastAsia="Calibri" w:hAnsi="Cambria Math" w:cs="Calibri"/>
                <w:sz w:val="22"/>
                <w:szCs w:val="22"/>
              </w:rPr>
              <m:t>PL</m:t>
            </m:r>
          </m:e>
          <m:sub>
            <m:r>
              <w:rPr>
                <w:rFonts w:ascii="Cambria Math" w:eastAsia="Calibri" w:hAnsi="Cambria Math" w:cs="Calibri"/>
                <w:sz w:val="22"/>
                <w:szCs w:val="22"/>
              </w:rPr>
              <m:t>i</m:t>
            </m:r>
          </m:sub>
        </m:sSub>
        <m:r>
          <w:rPr>
            <w:rFonts w:ascii="Cambria Math" w:eastAsia="Calibri" w:hAnsi="Cambria Math" w:cs="Calibri"/>
            <w:sz w:val="22"/>
            <w:szCs w:val="22"/>
          </w:rPr>
          <m:t xml:space="preserve"> </m:t>
        </m:r>
      </m:oMath>
      <w:r>
        <w:rPr>
          <w:rFonts w:ascii="Calibri" w:eastAsia="Calibri" w:hAnsi="Calibri" w:cs="Calibri"/>
          <w:sz w:val="22"/>
          <w:szCs w:val="22"/>
        </w:rPr>
        <w:t xml:space="preserve"> is an additional path loss incorporating the outdoor to indoor (O2I) penetration loss caused by the vehicle body. According to TR 38.901, </w:t>
      </w:r>
      <m:oMath>
        <m:sSub>
          <m:sSubPr>
            <m:ctrlPr>
              <w:rPr>
                <w:rFonts w:ascii="Cambria Math" w:eastAsia="Calibri" w:hAnsi="Cambria Math" w:cs="Calibri"/>
                <w:i/>
                <w:sz w:val="22"/>
                <w:szCs w:val="22"/>
              </w:rPr>
            </m:ctrlPr>
          </m:sSubPr>
          <m:e>
            <m:r>
              <w:rPr>
                <w:rFonts w:ascii="Cambria Math" w:eastAsia="Calibri" w:hAnsi="Cambria Math" w:cs="Calibri"/>
                <w:sz w:val="22"/>
                <w:szCs w:val="22"/>
              </w:rPr>
              <m:t>PL</m:t>
            </m:r>
          </m:e>
          <m:sub>
            <m:r>
              <w:rPr>
                <w:rFonts w:ascii="Cambria Math" w:eastAsia="Calibri" w:hAnsi="Cambria Math" w:cs="Calibri"/>
                <w:sz w:val="22"/>
                <w:szCs w:val="22"/>
              </w:rPr>
              <m:t>i</m:t>
            </m:r>
          </m:sub>
        </m:sSub>
      </m:oMath>
      <w:r>
        <w:rPr>
          <w:rFonts w:ascii="Calibri" w:eastAsia="Calibri" w:hAnsi="Calibri" w:cs="Calibri"/>
          <w:sz w:val="22"/>
          <w:szCs w:val="22"/>
        </w:rPr>
        <w:t xml:space="preserve"> follows a normal distribution:</w:t>
      </w:r>
    </w:p>
    <w:p w:rsidR="00583F9B" w:rsidRPr="00604C7A" w:rsidRDefault="00CD0D1B" w:rsidP="00583F9B">
      <w:pPr>
        <w:jc w:val="center"/>
        <w:rPr>
          <w:rFonts w:ascii="Calibri" w:eastAsia="Calibri" w:hAnsi="Calibri" w:cs="Calibri"/>
          <w:i/>
          <w:sz w:val="22"/>
          <w:szCs w:val="22"/>
        </w:rPr>
      </w:pPr>
      <m:oMathPara>
        <m:oMath>
          <m:sSub>
            <m:sSubPr>
              <m:ctrlPr>
                <w:rPr>
                  <w:rFonts w:ascii="Cambria Math" w:eastAsia="Calibri" w:hAnsi="Cambria Math" w:cs="Calibri"/>
                  <w:sz w:val="22"/>
                  <w:szCs w:val="22"/>
                </w:rPr>
              </m:ctrlPr>
            </m:sSubPr>
            <m:e>
              <m:r>
                <m:rPr>
                  <m:sty m:val="p"/>
                </m:rPr>
                <w:rPr>
                  <w:rFonts w:ascii="Cambria Math" w:eastAsia="Calibri" w:hAnsi="Cambria Math" w:cs="Calibri"/>
                  <w:sz w:val="22"/>
                  <w:szCs w:val="22"/>
                </w:rPr>
                <m:t>PL</m:t>
              </m:r>
            </m:e>
            <m:sub>
              <m:r>
                <m:rPr>
                  <m:sty m:val="p"/>
                </m:rPr>
                <w:rPr>
                  <w:rFonts w:ascii="Cambria Math" w:eastAsia="Calibri" w:hAnsi="Cambria Math" w:cs="Calibri"/>
                  <w:sz w:val="22"/>
                  <w:szCs w:val="22"/>
                </w:rPr>
                <m:t>i</m:t>
              </m:r>
            </m:sub>
          </m:sSub>
          <m:r>
            <w:rPr>
              <w:rFonts w:ascii="Cambria Math" w:eastAsia="Calibri" w:hAnsi="Cambria Math" w:cs="Calibri"/>
              <w:sz w:val="22"/>
              <w:szCs w:val="22"/>
            </w:rPr>
            <m:t xml:space="preserve">~ N (μ, </m:t>
          </m:r>
          <m:sSubSup>
            <m:sSubSupPr>
              <m:ctrlPr>
                <w:rPr>
                  <w:rFonts w:ascii="Cambria Math" w:eastAsia="Calibri" w:hAnsi="Cambria Math" w:cs="Calibri"/>
                  <w:i/>
                  <w:sz w:val="22"/>
                  <w:szCs w:val="22"/>
                </w:rPr>
              </m:ctrlPr>
            </m:sSubSupPr>
            <m:e>
              <m:r>
                <w:rPr>
                  <w:rFonts w:ascii="Cambria Math" w:eastAsia="Calibri" w:hAnsi="Cambria Math" w:cs="Calibri"/>
                  <w:sz w:val="22"/>
                  <w:szCs w:val="22"/>
                </w:rPr>
                <m:t>σ</m:t>
              </m:r>
            </m:e>
            <m:sub>
              <m:r>
                <w:rPr>
                  <w:rFonts w:ascii="Cambria Math" w:eastAsia="Calibri" w:hAnsi="Cambria Math" w:cs="Calibri"/>
                  <w:sz w:val="22"/>
                  <w:szCs w:val="22"/>
                </w:rPr>
                <m:t>p</m:t>
              </m:r>
            </m:sub>
            <m:sup>
              <m:r>
                <w:rPr>
                  <w:rFonts w:ascii="Cambria Math" w:eastAsia="Calibri" w:hAnsi="Cambria Math" w:cs="Calibri"/>
                  <w:sz w:val="22"/>
                  <w:szCs w:val="22"/>
                </w:rPr>
                <m:t>2</m:t>
              </m:r>
            </m:sup>
          </m:sSubSup>
          <m:r>
            <w:rPr>
              <w:rFonts w:ascii="Cambria Math" w:eastAsia="Calibri" w:hAnsi="Cambria Math" w:cs="Calibri"/>
              <w:sz w:val="22"/>
              <w:szCs w:val="22"/>
            </w:rPr>
            <m:t>)</m:t>
          </m:r>
        </m:oMath>
      </m:oMathPara>
    </w:p>
    <w:p w:rsidR="00583F9B" w:rsidRDefault="00583F9B" w:rsidP="00583F9B">
      <w:pPr>
        <w:jc w:val="both"/>
        <w:rPr>
          <w:rFonts w:ascii="Calibri" w:eastAsia="Calibri" w:hAnsi="Calibri" w:cs="Calibri"/>
          <w:sz w:val="22"/>
          <w:szCs w:val="22"/>
        </w:rPr>
      </w:pPr>
      <w:proofErr w:type="gramStart"/>
      <w:r>
        <w:rPr>
          <w:rFonts w:ascii="Calibri" w:eastAsia="Calibri" w:hAnsi="Calibri" w:cs="Calibri"/>
          <w:sz w:val="22"/>
          <w:szCs w:val="22"/>
        </w:rPr>
        <w:t>with</w:t>
      </w:r>
      <w:proofErr w:type="gramEnd"/>
      <w:r>
        <w:rPr>
          <w:rFonts w:ascii="Calibri" w:eastAsia="Calibri" w:hAnsi="Calibri" w:cs="Calibri"/>
          <w:sz w:val="22"/>
          <w:szCs w:val="22"/>
        </w:rPr>
        <w:t xml:space="preserve"> </w:t>
      </w:r>
      <w:r>
        <w:rPr>
          <w:rFonts w:ascii="Calibri" w:eastAsia="Calibri" w:hAnsi="Calibri" w:cs="Calibri"/>
          <w:i/>
          <w:sz w:val="22"/>
          <w:szCs w:val="22"/>
        </w:rPr>
        <w:t>μ</w:t>
      </w:r>
      <w:r>
        <w:rPr>
          <w:rFonts w:ascii="Calibri" w:eastAsia="Calibri" w:hAnsi="Calibri" w:cs="Calibri"/>
          <w:sz w:val="22"/>
          <w:szCs w:val="22"/>
        </w:rPr>
        <w:t xml:space="preserve"> = 9, and </w:t>
      </w:r>
      <w:proofErr w:type="spellStart"/>
      <w:r>
        <w:rPr>
          <w:rFonts w:ascii="Calibri" w:eastAsia="Calibri" w:hAnsi="Calibri" w:cs="Calibri"/>
          <w:sz w:val="22"/>
          <w:szCs w:val="22"/>
        </w:rPr>
        <w:t>σ</w:t>
      </w:r>
      <w:r>
        <w:rPr>
          <w:rFonts w:ascii="Calibri" w:eastAsia="Calibri" w:hAnsi="Calibri" w:cs="Calibri"/>
          <w:i/>
          <w:sz w:val="22"/>
          <w:szCs w:val="22"/>
          <w:vertAlign w:val="subscript"/>
        </w:rPr>
        <w:t>P</w:t>
      </w:r>
      <w:proofErr w:type="spellEnd"/>
      <w:r>
        <w:rPr>
          <w:rFonts w:ascii="Calibri" w:eastAsia="Calibri" w:hAnsi="Calibri" w:cs="Calibri"/>
          <w:sz w:val="22"/>
          <w:szCs w:val="22"/>
        </w:rPr>
        <w:t xml:space="preserve"> = 5 for glass type windows, and optionally for metallized car windows,</w:t>
      </w:r>
      <w:r>
        <w:rPr>
          <w:sz w:val="22"/>
          <w:szCs w:val="22"/>
        </w:rPr>
        <w:t xml:space="preserve"> </w:t>
      </w:r>
      <w:r>
        <w:rPr>
          <w:i/>
          <w:sz w:val="22"/>
          <w:szCs w:val="22"/>
        </w:rPr>
        <w:t>μ</w:t>
      </w:r>
      <w:r>
        <w:rPr>
          <w:sz w:val="22"/>
          <w:szCs w:val="22"/>
        </w:rPr>
        <w:t xml:space="preserve"> = 20 </w:t>
      </w:r>
      <w:r>
        <w:rPr>
          <w:rFonts w:ascii="Calibri" w:eastAsia="Calibri" w:hAnsi="Calibri" w:cs="Calibri"/>
          <w:sz w:val="22"/>
          <w:szCs w:val="22"/>
        </w:rPr>
        <w:t xml:space="preserve">can be used. This </w:t>
      </w:r>
      <w:proofErr w:type="spellStart"/>
      <w:r>
        <w:rPr>
          <w:rFonts w:ascii="Calibri" w:eastAsia="Calibri" w:hAnsi="Calibri" w:cs="Calibri"/>
          <w:sz w:val="22"/>
          <w:szCs w:val="22"/>
        </w:rPr>
        <w:t>pathloss</w:t>
      </w:r>
      <w:proofErr w:type="spellEnd"/>
      <w:r>
        <w:rPr>
          <w:rFonts w:ascii="Calibri" w:eastAsia="Calibri" w:hAnsi="Calibri" w:cs="Calibri"/>
          <w:sz w:val="22"/>
          <w:szCs w:val="22"/>
        </w:rPr>
        <w:t xml:space="preserve"> model is applicable for at least 0.6-60 GHz. </w:t>
      </w:r>
    </w:p>
    <w:p w:rsidR="00583F9B" w:rsidRDefault="00583F9B" w:rsidP="00583F9B">
      <w:pPr>
        <w:jc w:val="both"/>
        <w:rPr>
          <w:rFonts w:ascii="Calibri" w:eastAsia="Calibri" w:hAnsi="Calibri" w:cs="Calibri"/>
          <w:sz w:val="22"/>
          <w:szCs w:val="22"/>
        </w:rPr>
      </w:pPr>
      <w:r>
        <w:rPr>
          <w:rFonts w:ascii="Calibri" w:eastAsia="Calibri" w:hAnsi="Calibri" w:cs="Calibri"/>
          <w:sz w:val="22"/>
          <w:szCs w:val="22"/>
        </w:rPr>
        <w:t xml:space="preserve">Based on the model above, Figure1 compares the expected SNR of two vehicle UEs with different RX capabilities and different RX antenna locations as give below: </w:t>
      </w:r>
    </w:p>
    <w:p w:rsidR="00583F9B" w:rsidRDefault="00583F9B" w:rsidP="00583F9B">
      <w:pPr>
        <w:numPr>
          <w:ilvl w:val="0"/>
          <w:numId w:val="3"/>
        </w:numPr>
        <w:spacing w:after="0"/>
        <w:contextualSpacing/>
        <w:jc w:val="both"/>
        <w:rPr>
          <w:sz w:val="22"/>
          <w:szCs w:val="22"/>
        </w:rPr>
      </w:pPr>
      <w:r>
        <w:rPr>
          <w:rFonts w:ascii="Calibri" w:eastAsia="Calibri" w:hAnsi="Calibri" w:cs="Calibri"/>
          <w:sz w:val="22"/>
          <w:szCs w:val="22"/>
        </w:rPr>
        <w:t xml:space="preserve">Smartphone UE1 is equipped with 4 RX antennas that are placed at </w:t>
      </w:r>
      <w:r>
        <w:rPr>
          <w:rFonts w:ascii="Calibri" w:eastAsia="Calibri" w:hAnsi="Calibri" w:cs="Calibri"/>
          <w:i/>
          <w:sz w:val="22"/>
          <w:szCs w:val="22"/>
        </w:rPr>
        <w:t>interior</w:t>
      </w:r>
      <w:r>
        <w:rPr>
          <w:rFonts w:ascii="Calibri" w:eastAsia="Calibri" w:hAnsi="Calibri" w:cs="Calibri"/>
          <w:sz w:val="22"/>
          <w:szCs w:val="22"/>
        </w:rPr>
        <w:t xml:space="preserve"> position of vehicle for NR communications. </w:t>
      </w:r>
    </w:p>
    <w:p w:rsidR="00583F9B" w:rsidRDefault="00583F9B" w:rsidP="00583F9B">
      <w:pPr>
        <w:numPr>
          <w:ilvl w:val="0"/>
          <w:numId w:val="3"/>
        </w:numPr>
        <w:contextualSpacing/>
        <w:jc w:val="both"/>
        <w:rPr>
          <w:sz w:val="22"/>
          <w:szCs w:val="22"/>
        </w:rPr>
      </w:pPr>
      <w:r>
        <w:rPr>
          <w:rFonts w:ascii="Calibri" w:eastAsia="Calibri" w:hAnsi="Calibri" w:cs="Calibri"/>
          <w:sz w:val="22"/>
          <w:szCs w:val="22"/>
        </w:rPr>
        <w:t xml:space="preserve">Vehicle UE2 is equipped with 2 RX antennas that is placed at </w:t>
      </w:r>
      <w:r>
        <w:rPr>
          <w:rFonts w:ascii="Calibri" w:eastAsia="Calibri" w:hAnsi="Calibri" w:cs="Calibri"/>
          <w:i/>
          <w:sz w:val="22"/>
          <w:szCs w:val="22"/>
        </w:rPr>
        <w:t>exterior</w:t>
      </w:r>
      <w:r>
        <w:rPr>
          <w:rFonts w:ascii="Calibri" w:eastAsia="Calibri" w:hAnsi="Calibri" w:cs="Calibri"/>
          <w:sz w:val="22"/>
          <w:szCs w:val="22"/>
        </w:rPr>
        <w:t xml:space="preserve"> position of vehicle for NR communications. </w:t>
      </w:r>
    </w:p>
    <w:p w:rsidR="00583F9B" w:rsidRPr="008A4500" w:rsidRDefault="00583F9B" w:rsidP="00583F9B">
      <w:pPr>
        <w:jc w:val="both"/>
      </w:pPr>
      <w:r>
        <w:object w:dxaOrig="8271" w:dyaOrig="4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01pt" o:ole="">
            <v:imagedata r:id="rId7" o:title=""/>
          </v:shape>
          <o:OLEObject Type="Embed" ProgID="Visio.Drawing.15" ShapeID="_x0000_i1025" DrawAspect="Content" ObjectID="_1587836873" r:id="rId8"/>
        </w:object>
      </w:r>
    </w:p>
    <w:p w:rsidR="00583F9B" w:rsidRDefault="00583F9B" w:rsidP="00583F9B">
      <w:pPr>
        <w:ind w:left="800" w:hanging="720"/>
        <w:jc w:val="both"/>
        <w:rPr>
          <w:rFonts w:ascii="Calibri" w:eastAsia="Calibri" w:hAnsi="Calibri" w:cs="Calibri"/>
          <w:sz w:val="22"/>
          <w:szCs w:val="22"/>
        </w:rPr>
      </w:pPr>
      <w:r>
        <w:rPr>
          <w:rFonts w:ascii="Calibri" w:eastAsia="Calibri" w:hAnsi="Calibri" w:cs="Calibri"/>
          <w:b/>
        </w:rPr>
        <w:t>Figure1.</w:t>
      </w:r>
      <w:r>
        <w:rPr>
          <w:rFonts w:ascii="Calibri" w:eastAsia="Calibri" w:hAnsi="Calibri" w:cs="Calibri"/>
        </w:rPr>
        <w:t xml:space="preserve"> Comparison of </w:t>
      </w:r>
      <w:proofErr w:type="spellStart"/>
      <w:r>
        <w:rPr>
          <w:rFonts w:ascii="Calibri" w:eastAsia="Calibri" w:hAnsi="Calibri" w:cs="Calibri"/>
        </w:rPr>
        <w:t>pathloss</w:t>
      </w:r>
      <w:proofErr w:type="spellEnd"/>
      <w:r>
        <w:rPr>
          <w:rFonts w:ascii="Calibri" w:eastAsia="Calibri" w:hAnsi="Calibri" w:cs="Calibri"/>
        </w:rPr>
        <w:t xml:space="preserve"> for vehicles with different RX capabilities and different antenna positions</w:t>
      </w:r>
    </w:p>
    <w:p w:rsidR="00583F9B" w:rsidRDefault="00583F9B" w:rsidP="00583F9B">
      <w:pPr>
        <w:jc w:val="both"/>
        <w:rPr>
          <w:rFonts w:ascii="Calibri" w:eastAsia="Calibri" w:hAnsi="Calibri" w:cs="Calibri"/>
          <w:sz w:val="22"/>
          <w:szCs w:val="22"/>
        </w:rPr>
      </w:pPr>
      <w:r>
        <w:rPr>
          <w:rFonts w:ascii="Calibri" w:eastAsia="Calibri" w:hAnsi="Calibri" w:cs="Calibri"/>
          <w:sz w:val="22"/>
          <w:szCs w:val="22"/>
        </w:rPr>
        <w:t xml:space="preserve">Assume that network provisions its downlink coverage such that the UE1 experiences an expected SNR value </w:t>
      </w:r>
      <m:oMath>
        <m:r>
          <m:rPr>
            <m:sty m:val="p"/>
          </m:rPr>
          <w:rPr>
            <w:rFonts w:ascii="Cambria Math" w:eastAsia="Calibri" w:hAnsi="Cambria Math" w:cs="Calibri"/>
            <w:sz w:val="22"/>
            <w:szCs w:val="22"/>
          </w:rPr>
          <m:t>A</m:t>
        </m:r>
      </m:oMath>
      <w:r>
        <w:rPr>
          <w:rFonts w:ascii="Calibri" w:eastAsia="Calibri" w:hAnsi="Calibri" w:cs="Calibri"/>
          <w:sz w:val="22"/>
          <w:szCs w:val="22"/>
        </w:rPr>
        <w:t xml:space="preserve"> in dB. Note that UE1 experiences both outdoor pathloss and O2I penetration loss whereas UE2 only experiences outdoor pathloss. Taking the SNR of UE1 as reference, we can calculate the SNR of UE2 by using the above pathloss model as:</w:t>
      </w:r>
    </w:p>
    <w:p w:rsidR="00583F9B" w:rsidRPr="008762C6" w:rsidRDefault="00CD0D1B" w:rsidP="00583F9B">
      <w:pPr>
        <w:jc w:val="center"/>
        <w:rPr>
          <w:rFonts w:ascii="Calibri" w:eastAsia="맑은 고딕" w:hAnsi="Calibri" w:cs="Calibri"/>
          <w:sz w:val="22"/>
          <w:szCs w:val="22"/>
        </w:rPr>
      </w:pPr>
      <m:oMath>
        <m:sSub>
          <m:sSubPr>
            <m:ctrlPr>
              <w:rPr>
                <w:rFonts w:ascii="Cambria Math" w:eastAsia="맑은 고딕" w:hAnsi="Cambria Math" w:cs="Calibri"/>
                <w:sz w:val="22"/>
                <w:szCs w:val="22"/>
              </w:rPr>
            </m:ctrlPr>
          </m:sSubPr>
          <m:e>
            <m:r>
              <m:rPr>
                <m:sty m:val="p"/>
              </m:rPr>
              <w:rPr>
                <w:rFonts w:ascii="Cambria Math" w:eastAsia="맑은 고딕" w:hAnsi="Cambria Math" w:cs="Calibri"/>
                <w:sz w:val="22"/>
                <w:szCs w:val="22"/>
              </w:rPr>
              <m:t>SNR</m:t>
            </m:r>
          </m:e>
          <m:sub>
            <m:r>
              <m:rPr>
                <m:sty m:val="p"/>
              </m:rPr>
              <w:rPr>
                <w:rFonts w:ascii="Cambria Math" w:eastAsia="맑은 고딕" w:hAnsi="Cambria Math" w:cs="Calibri"/>
                <w:sz w:val="22"/>
                <w:szCs w:val="22"/>
              </w:rPr>
              <m:t>UE2</m:t>
            </m:r>
          </m:sub>
        </m:sSub>
        <m:r>
          <w:rPr>
            <w:rFonts w:ascii="Cambria Math" w:eastAsia="맑은 고딕" w:hAnsi="Cambria Math" w:cs="Calibri"/>
            <w:sz w:val="22"/>
            <w:szCs w:val="22"/>
          </w:rPr>
          <m:t>=A+P</m:t>
        </m:r>
        <m:sSub>
          <m:sSubPr>
            <m:ctrlPr>
              <w:rPr>
                <w:rFonts w:ascii="Cambria Math" w:eastAsia="맑은 고딕" w:hAnsi="Cambria Math" w:cs="Calibri"/>
                <w:i/>
                <w:sz w:val="22"/>
                <w:szCs w:val="22"/>
              </w:rPr>
            </m:ctrlPr>
          </m:sSubPr>
          <m:e>
            <m:r>
              <w:rPr>
                <w:rFonts w:ascii="Cambria Math" w:eastAsia="맑은 고딕" w:hAnsi="Cambria Math" w:cs="Calibri"/>
                <w:sz w:val="22"/>
                <w:szCs w:val="22"/>
              </w:rPr>
              <m:t>L</m:t>
            </m:r>
          </m:e>
          <m:sub>
            <m:r>
              <w:rPr>
                <w:rFonts w:ascii="Cambria Math" w:eastAsia="맑은 고딕" w:hAnsi="Cambria Math" w:cs="Calibri"/>
                <w:sz w:val="22"/>
                <w:szCs w:val="22"/>
              </w:rPr>
              <m:t>i</m:t>
            </m:r>
          </m:sub>
        </m:sSub>
        <m:r>
          <w:rPr>
            <w:rFonts w:ascii="Cambria Math" w:eastAsia="맑은 고딕" w:hAnsi="Cambria Math" w:cs="Calibri"/>
            <w:sz w:val="22"/>
            <w:szCs w:val="22"/>
          </w:rPr>
          <m:t>-3</m:t>
        </m:r>
      </m:oMath>
      <w:r w:rsidR="00583F9B">
        <w:rPr>
          <w:rFonts w:ascii="Calibri" w:eastAsia="맑은 고딕" w:hAnsi="Calibri" w:cs="Calibri" w:hint="eastAsia"/>
          <w:sz w:val="22"/>
          <w:szCs w:val="22"/>
        </w:rPr>
        <w:t xml:space="preserve"> </w:t>
      </w:r>
      <w:r w:rsidR="00583F9B">
        <w:rPr>
          <w:rFonts w:ascii="Calibri" w:eastAsia="맑은 고딕" w:hAnsi="Calibri" w:cs="Calibri"/>
          <w:sz w:val="22"/>
          <w:szCs w:val="22"/>
        </w:rPr>
        <w:t>(</w:t>
      </w:r>
      <w:proofErr w:type="gramStart"/>
      <w:r w:rsidR="00583F9B">
        <w:rPr>
          <w:rFonts w:ascii="Calibri" w:eastAsia="맑은 고딕" w:hAnsi="Calibri" w:cs="Calibri"/>
          <w:sz w:val="22"/>
          <w:szCs w:val="22"/>
        </w:rPr>
        <w:t>dB</w:t>
      </w:r>
      <w:proofErr w:type="gramEnd"/>
      <w:r w:rsidR="00583F9B">
        <w:rPr>
          <w:rFonts w:ascii="Calibri" w:eastAsia="맑은 고딕" w:hAnsi="Calibri" w:cs="Calibri"/>
          <w:sz w:val="22"/>
          <w:szCs w:val="22"/>
        </w:rPr>
        <w:t>)</w:t>
      </w:r>
      <w:r w:rsidR="00813CD4">
        <w:rPr>
          <w:rFonts w:ascii="Calibri" w:eastAsia="맑은 고딕" w:hAnsi="Calibri" w:cs="Calibri"/>
          <w:sz w:val="22"/>
          <w:szCs w:val="22"/>
        </w:rPr>
        <w:t xml:space="preserve"> = A+6 to A+17 (dB)</w:t>
      </w:r>
    </w:p>
    <w:p w:rsidR="00583F9B" w:rsidRDefault="00583F9B" w:rsidP="00583F9B">
      <w:pPr>
        <w:jc w:val="both"/>
        <w:rPr>
          <w:rFonts w:ascii="Calibri" w:eastAsia="Calibri" w:hAnsi="Calibri" w:cs="Calibri"/>
          <w:sz w:val="22"/>
          <w:szCs w:val="22"/>
        </w:rPr>
      </w:pPr>
      <w:proofErr w:type="gramStart"/>
      <w:r>
        <w:rPr>
          <w:rFonts w:ascii="Calibri" w:eastAsia="Calibri" w:hAnsi="Calibri" w:cs="Calibri"/>
          <w:sz w:val="22"/>
          <w:szCs w:val="22"/>
        </w:rPr>
        <w:t>where</w:t>
      </w:r>
      <w:proofErr w:type="gramEnd"/>
      <w:r>
        <w:rPr>
          <w:rFonts w:ascii="Calibri" w:eastAsia="Calibri" w:hAnsi="Calibri" w:cs="Calibri"/>
          <w:sz w:val="22"/>
          <w:szCs w:val="22"/>
        </w:rPr>
        <w:t xml:space="preserve"> the plus sign of </w:t>
      </w:r>
      <m:oMath>
        <m:sSub>
          <m:sSubPr>
            <m:ctrlPr>
              <w:rPr>
                <w:rFonts w:ascii="Cambria Math" w:eastAsia="맑은 고딕" w:hAnsi="Cambria Math" w:cs="Calibri"/>
                <w:sz w:val="22"/>
                <w:szCs w:val="22"/>
              </w:rPr>
            </m:ctrlPr>
          </m:sSubPr>
          <m:e>
            <m:r>
              <m:rPr>
                <m:sty m:val="p"/>
              </m:rPr>
              <w:rPr>
                <w:rFonts w:ascii="Cambria Math" w:eastAsia="맑은 고딕" w:hAnsi="Cambria Math" w:cs="Calibri"/>
                <w:sz w:val="22"/>
                <w:szCs w:val="22"/>
              </w:rPr>
              <m:t>PL</m:t>
            </m:r>
          </m:e>
          <m:sub>
            <m:r>
              <m:rPr>
                <m:sty m:val="p"/>
              </m:rPr>
              <w:rPr>
                <w:rFonts w:ascii="Cambria Math" w:eastAsia="맑은 고딕" w:hAnsi="Cambria Math" w:cs="Calibri"/>
                <w:sz w:val="22"/>
                <w:szCs w:val="22"/>
              </w:rPr>
              <m:t>i</m:t>
            </m:r>
          </m:sub>
        </m:sSub>
      </m:oMath>
      <w:r>
        <w:rPr>
          <w:rFonts w:ascii="Calibri" w:hAnsi="Calibri" w:cs="Calibri" w:hint="eastAsia"/>
          <w:sz w:val="22"/>
          <w:szCs w:val="22"/>
        </w:rPr>
        <w:t xml:space="preserve"> </w:t>
      </w:r>
      <w:r>
        <w:rPr>
          <w:rFonts w:ascii="Calibri" w:eastAsia="Calibri" w:hAnsi="Calibri" w:cs="Calibri"/>
          <w:sz w:val="22"/>
          <w:szCs w:val="22"/>
        </w:rPr>
        <w:t>accounts for the exterior antenna location of UE2 where no O2I penetration loss is induced and where the minus 3 dB accounts for the reduced receive antenna gain due to reduced number of antennas compared to UE1. According to TR 38.901,</w:t>
      </w:r>
      <m:oMath>
        <m:r>
          <w:rPr>
            <w:rFonts w:ascii="Cambria Math" w:eastAsia="맑은 고딕" w:hAnsi="Cambria Math" w:cs="Calibri"/>
            <w:sz w:val="22"/>
            <w:szCs w:val="22"/>
          </w:rPr>
          <m:t xml:space="preserve"> P</m:t>
        </m:r>
        <m:sSub>
          <m:sSubPr>
            <m:ctrlPr>
              <w:rPr>
                <w:rFonts w:ascii="Cambria Math" w:eastAsia="맑은 고딕" w:hAnsi="Cambria Math" w:cs="Calibri"/>
                <w:i/>
                <w:sz w:val="22"/>
                <w:szCs w:val="22"/>
              </w:rPr>
            </m:ctrlPr>
          </m:sSubPr>
          <m:e>
            <m:r>
              <w:rPr>
                <w:rFonts w:ascii="Cambria Math" w:eastAsia="맑은 고딕" w:hAnsi="Cambria Math" w:cs="Calibri"/>
                <w:sz w:val="22"/>
                <w:szCs w:val="22"/>
              </w:rPr>
              <m:t>L</m:t>
            </m:r>
          </m:e>
          <m:sub>
            <m:r>
              <w:rPr>
                <w:rFonts w:ascii="Cambria Math" w:eastAsia="맑은 고딕" w:hAnsi="Cambria Math" w:cs="Calibri"/>
                <w:sz w:val="22"/>
                <w:szCs w:val="22"/>
              </w:rPr>
              <m:t>i</m:t>
            </m:r>
          </m:sub>
        </m:sSub>
      </m:oMath>
      <w:r>
        <w:rPr>
          <w:rFonts w:ascii="Calibri" w:eastAsia="Calibri" w:hAnsi="Calibri" w:cs="Calibri"/>
          <w:sz w:val="22"/>
          <w:szCs w:val="22"/>
        </w:rPr>
        <w:t xml:space="preserve"> ranges from 9 to 20. The resultant </w:t>
      </w:r>
      <m:oMath>
        <m:sSub>
          <m:sSubPr>
            <m:ctrlPr>
              <w:rPr>
                <w:rFonts w:ascii="Cambria Math" w:eastAsia="맑은 고딕" w:hAnsi="Cambria Math" w:cs="Calibri"/>
                <w:sz w:val="22"/>
                <w:szCs w:val="22"/>
              </w:rPr>
            </m:ctrlPr>
          </m:sSubPr>
          <m:e>
            <m:r>
              <m:rPr>
                <m:sty m:val="p"/>
              </m:rPr>
              <w:rPr>
                <w:rFonts w:ascii="Cambria Math" w:eastAsia="맑은 고딕" w:hAnsi="Cambria Math" w:cs="Calibri"/>
                <w:sz w:val="22"/>
                <w:szCs w:val="22"/>
              </w:rPr>
              <m:t>SNR</m:t>
            </m:r>
          </m:e>
          <m:sub>
            <m:r>
              <m:rPr>
                <m:sty m:val="p"/>
              </m:rPr>
              <w:rPr>
                <w:rFonts w:ascii="Cambria Math" w:eastAsia="맑은 고딕" w:hAnsi="Cambria Math" w:cs="Calibri"/>
                <w:sz w:val="22"/>
                <w:szCs w:val="22"/>
              </w:rPr>
              <m:t>UE2</m:t>
            </m:r>
          </m:sub>
        </m:sSub>
      </m:oMath>
      <w:r>
        <w:rPr>
          <w:rFonts w:ascii="Calibri" w:eastAsia="Calibri" w:hAnsi="Calibri" w:cs="Calibri"/>
          <w:sz w:val="22"/>
          <w:szCs w:val="22"/>
        </w:rPr>
        <w:t xml:space="preserve"> ranges from </w:t>
      </w:r>
      <m:oMath>
        <m:r>
          <w:rPr>
            <w:rFonts w:ascii="Cambria Math" w:eastAsia="Calibri" w:hAnsi="Cambria Math" w:cs="Calibri"/>
            <w:sz w:val="22"/>
            <w:szCs w:val="22"/>
          </w:rPr>
          <m:t>A</m:t>
        </m:r>
        <m:r>
          <w:rPr>
            <w:rFonts w:ascii="Cambria" w:eastAsia="Cambria" w:hAnsi="Cambria" w:cs="Cambria"/>
            <w:sz w:val="22"/>
            <w:szCs w:val="22"/>
          </w:rPr>
          <m:t>+6</m:t>
        </m:r>
      </m:oMath>
      <w:r>
        <w:rPr>
          <w:rFonts w:ascii="Calibri" w:eastAsia="Calibri" w:hAnsi="Calibri" w:cs="Calibri"/>
          <w:sz w:val="22"/>
          <w:szCs w:val="22"/>
        </w:rPr>
        <w:t xml:space="preserve"> to </w:t>
      </w:r>
      <m:oMath>
        <m:r>
          <m:rPr>
            <m:sty m:val="p"/>
          </m:rPr>
          <w:rPr>
            <w:rFonts w:ascii="Cambria Math" w:eastAsia="Cambria" w:hAnsi="Cambria Math" w:cs="Cambria"/>
            <w:sz w:val="22"/>
            <w:szCs w:val="22"/>
          </w:rPr>
          <m:t>A</m:t>
        </m:r>
        <m:r>
          <w:rPr>
            <w:rFonts w:ascii="Cambria" w:eastAsia="Cambria" w:hAnsi="Cambria" w:cs="Cambria"/>
            <w:sz w:val="22"/>
            <w:szCs w:val="22"/>
          </w:rPr>
          <m:t>+17</m:t>
        </m:r>
      </m:oMath>
      <w:r>
        <w:rPr>
          <w:rFonts w:ascii="Calibri" w:eastAsia="Calibri" w:hAnsi="Calibri" w:cs="Calibri"/>
          <w:sz w:val="22"/>
          <w:szCs w:val="22"/>
        </w:rPr>
        <w:t xml:space="preserve"> which far </w:t>
      </w:r>
      <w:proofErr w:type="gramStart"/>
      <w:r>
        <w:rPr>
          <w:rFonts w:ascii="Calibri" w:eastAsia="Calibri" w:hAnsi="Calibri" w:cs="Calibri"/>
          <w:sz w:val="22"/>
          <w:szCs w:val="22"/>
        </w:rPr>
        <w:t xml:space="preserve">exceeds </w:t>
      </w:r>
      <w:proofErr w:type="gramEnd"/>
      <m:oMath>
        <m:sSub>
          <m:sSubPr>
            <m:ctrlPr>
              <w:rPr>
                <w:rFonts w:ascii="Cambria Math" w:eastAsia="Cambria" w:hAnsi="Cambria Math" w:cs="Cambria"/>
                <w:sz w:val="22"/>
                <w:szCs w:val="22"/>
              </w:rPr>
            </m:ctrlPr>
          </m:sSubPr>
          <m:e>
            <m:r>
              <m:rPr>
                <m:sty m:val="p"/>
              </m:rPr>
              <w:rPr>
                <w:rFonts w:ascii="Cambria Math" w:eastAsia="Cambria" w:hAnsi="Cambria Math" w:cs="Cambria"/>
                <w:sz w:val="22"/>
                <w:szCs w:val="22"/>
              </w:rPr>
              <m:t>SNR</m:t>
            </m:r>
          </m:e>
          <m:sub>
            <m:r>
              <m:rPr>
                <m:sty m:val="p"/>
              </m:rPr>
              <w:rPr>
                <w:rFonts w:ascii="Cambria Math" w:eastAsia="Cambria" w:hAnsi="Cambria Math" w:cs="Cambria"/>
                <w:sz w:val="22"/>
                <w:szCs w:val="22"/>
              </w:rPr>
              <m:t>UE1</m:t>
            </m:r>
          </m:sub>
        </m:sSub>
      </m:oMath>
      <w:r>
        <w:rPr>
          <w:rFonts w:ascii="Calibri" w:eastAsia="Calibri" w:hAnsi="Calibri" w:cs="Calibri"/>
          <w:sz w:val="22"/>
          <w:szCs w:val="22"/>
        </w:rPr>
        <w:t>. From this simple calculus the following observations can be made:</w:t>
      </w:r>
    </w:p>
    <w:p w:rsidR="00583F9B" w:rsidRDefault="00813CD4" w:rsidP="00583F9B">
      <w:pPr>
        <w:jc w:val="both"/>
        <w:rPr>
          <w:rFonts w:ascii="Calibri" w:eastAsia="Calibri" w:hAnsi="Calibri" w:cs="Calibri"/>
          <w:sz w:val="22"/>
          <w:szCs w:val="22"/>
        </w:rPr>
      </w:pPr>
      <w:r>
        <w:rPr>
          <w:rFonts w:ascii="Calibri" w:eastAsia="Calibri" w:hAnsi="Calibri" w:cs="Calibri"/>
          <w:b/>
          <w:sz w:val="22"/>
          <w:szCs w:val="22"/>
        </w:rPr>
        <w:t>Observation 2</w:t>
      </w:r>
      <w:r w:rsidR="00583F9B">
        <w:rPr>
          <w:rFonts w:ascii="Calibri" w:eastAsia="Calibri" w:hAnsi="Calibri" w:cs="Calibri"/>
          <w:sz w:val="22"/>
          <w:szCs w:val="22"/>
        </w:rPr>
        <w:t xml:space="preserve">: </w:t>
      </w:r>
      <w:r w:rsidR="00F040EC">
        <w:rPr>
          <w:rFonts w:ascii="Calibri" w:eastAsia="Calibri" w:hAnsi="Calibri" w:cs="Calibri"/>
          <w:sz w:val="22"/>
          <w:szCs w:val="22"/>
        </w:rPr>
        <w:t>T</w:t>
      </w:r>
      <w:r w:rsidR="00583F9B">
        <w:rPr>
          <w:rFonts w:ascii="Calibri" w:eastAsia="Calibri" w:hAnsi="Calibri" w:cs="Calibri"/>
          <w:sz w:val="22"/>
          <w:szCs w:val="22"/>
        </w:rPr>
        <w:t>he outdoor to indoor penetration loss</w:t>
      </w:r>
      <w:r w:rsidR="006F480A">
        <w:rPr>
          <w:rFonts w:ascii="Calibri" w:eastAsia="Calibri" w:hAnsi="Calibri" w:cs="Calibri"/>
          <w:sz w:val="22"/>
          <w:szCs w:val="22"/>
        </w:rPr>
        <w:t xml:space="preserve"> (</w:t>
      </w:r>
      <w:r w:rsidR="00F040EC">
        <w:rPr>
          <w:rFonts w:ascii="Calibri" w:eastAsia="Calibri" w:hAnsi="Calibri" w:cs="Calibri"/>
          <w:sz w:val="22"/>
          <w:szCs w:val="22"/>
        </w:rPr>
        <w:t xml:space="preserve">O2I: </w:t>
      </w:r>
      <w:r w:rsidR="006F480A">
        <w:rPr>
          <w:rFonts w:ascii="Calibri" w:eastAsia="Calibri" w:hAnsi="Calibri" w:cs="Calibri"/>
          <w:sz w:val="22"/>
          <w:szCs w:val="22"/>
        </w:rPr>
        <w:t>10dB loss)</w:t>
      </w:r>
      <w:r w:rsidR="00081881">
        <w:rPr>
          <w:rFonts w:ascii="Calibri" w:eastAsia="Calibri" w:hAnsi="Calibri" w:cs="Calibri"/>
          <w:sz w:val="22"/>
          <w:szCs w:val="22"/>
        </w:rPr>
        <w:t xml:space="preserve"> is not expected for NR vehicle UE</w:t>
      </w:r>
      <w:r w:rsidR="006F480A">
        <w:rPr>
          <w:rFonts w:ascii="Calibri" w:eastAsia="Calibri" w:hAnsi="Calibri" w:cs="Calibri"/>
          <w:sz w:val="22"/>
          <w:szCs w:val="22"/>
        </w:rPr>
        <w:t>.</w:t>
      </w:r>
      <w:r w:rsidR="00081881">
        <w:rPr>
          <w:rFonts w:ascii="Calibri" w:eastAsia="Calibri" w:hAnsi="Calibri" w:cs="Calibri"/>
          <w:sz w:val="22"/>
          <w:szCs w:val="22"/>
        </w:rPr>
        <w:t xml:space="preserve"> Also external antenna of NR vehicle UE has additional antenna gain compare to handheld UE</w:t>
      </w:r>
      <w:r w:rsidR="00792AC6">
        <w:rPr>
          <w:rFonts w:ascii="Calibri" w:eastAsia="Calibri" w:hAnsi="Calibri" w:cs="Calibri"/>
          <w:sz w:val="22"/>
          <w:szCs w:val="22"/>
        </w:rPr>
        <w:t>.</w:t>
      </w:r>
    </w:p>
    <w:p w:rsidR="00583F9B" w:rsidRDefault="00813CD4" w:rsidP="00583F9B">
      <w:pPr>
        <w:jc w:val="both"/>
        <w:rPr>
          <w:rFonts w:ascii="Calibri" w:eastAsia="Calibri" w:hAnsi="Calibri" w:cs="Calibri"/>
          <w:sz w:val="22"/>
          <w:szCs w:val="22"/>
        </w:rPr>
      </w:pPr>
      <w:r>
        <w:rPr>
          <w:rFonts w:ascii="Calibri" w:eastAsia="Calibri" w:hAnsi="Calibri" w:cs="Calibri"/>
          <w:b/>
          <w:sz w:val="22"/>
          <w:szCs w:val="22"/>
        </w:rPr>
        <w:t>Observation 3</w:t>
      </w:r>
      <w:r w:rsidR="00583F9B">
        <w:rPr>
          <w:rFonts w:ascii="Calibri" w:eastAsia="Calibri" w:hAnsi="Calibri" w:cs="Calibri"/>
          <w:sz w:val="22"/>
          <w:szCs w:val="22"/>
        </w:rPr>
        <w:t xml:space="preserve">: </w:t>
      </w:r>
      <w:r w:rsidR="006F480A">
        <w:rPr>
          <w:rFonts w:ascii="Calibri" w:eastAsia="Calibri" w:hAnsi="Calibri" w:cs="Calibri"/>
          <w:sz w:val="22"/>
          <w:szCs w:val="22"/>
        </w:rPr>
        <w:t>Based on observation2, t</w:t>
      </w:r>
      <w:r w:rsidR="00583F9B">
        <w:rPr>
          <w:rFonts w:ascii="Calibri" w:eastAsia="Calibri" w:hAnsi="Calibri" w:cs="Calibri"/>
          <w:sz w:val="22"/>
          <w:szCs w:val="22"/>
        </w:rPr>
        <w:t xml:space="preserve">he coverage of NR vehicle UEs with 2 exterior RX antennas is not smaller than that of hand-held UEs with 4 RX antennas. </w:t>
      </w:r>
    </w:p>
    <w:p w:rsidR="00583F9B" w:rsidRDefault="00792AC6" w:rsidP="00583F9B">
      <w:pPr>
        <w:jc w:val="both"/>
        <w:rPr>
          <w:rFonts w:ascii="Calibri" w:eastAsia="Calibri" w:hAnsi="Calibri" w:cs="Calibri"/>
          <w:i/>
          <w:sz w:val="22"/>
          <w:szCs w:val="22"/>
        </w:rPr>
      </w:pPr>
      <w:r>
        <w:rPr>
          <w:rFonts w:ascii="Calibri" w:eastAsia="Calibri" w:hAnsi="Calibri" w:cs="Calibri"/>
          <w:sz w:val="22"/>
          <w:szCs w:val="22"/>
        </w:rPr>
        <w:t>Based on</w:t>
      </w:r>
      <w:r w:rsidR="006F480A">
        <w:rPr>
          <w:rFonts w:ascii="Calibri" w:eastAsia="Calibri" w:hAnsi="Calibri" w:cs="Calibri"/>
          <w:sz w:val="22"/>
          <w:szCs w:val="22"/>
        </w:rPr>
        <w:t xml:space="preserve"> three</w:t>
      </w:r>
      <w:r w:rsidR="00583F9B">
        <w:rPr>
          <w:rFonts w:ascii="Calibri" w:eastAsia="Calibri" w:hAnsi="Calibri" w:cs="Calibri"/>
          <w:sz w:val="22"/>
          <w:szCs w:val="22"/>
        </w:rPr>
        <w:t xml:space="preserve"> observations, </w:t>
      </w:r>
      <w:r w:rsidR="006F480A">
        <w:rPr>
          <w:rFonts w:ascii="Calibri" w:eastAsia="Calibri" w:hAnsi="Calibri" w:cs="Calibri"/>
          <w:sz w:val="22"/>
          <w:szCs w:val="22"/>
        </w:rPr>
        <w:t xml:space="preserve">RAN WG4 can be allowed the 2RX REFSENS requirements for NR based V2X services for </w:t>
      </w:r>
      <w:proofErr w:type="spellStart"/>
      <w:r w:rsidR="006F480A">
        <w:rPr>
          <w:rFonts w:ascii="Calibri" w:eastAsia="Calibri" w:hAnsi="Calibri" w:cs="Calibri"/>
          <w:sz w:val="22"/>
          <w:szCs w:val="22"/>
        </w:rPr>
        <w:t>Uu</w:t>
      </w:r>
      <w:proofErr w:type="spellEnd"/>
      <w:r w:rsidR="006F480A">
        <w:rPr>
          <w:rFonts w:ascii="Calibri" w:eastAsia="Calibri" w:hAnsi="Calibri" w:cs="Calibri"/>
          <w:sz w:val="22"/>
          <w:szCs w:val="22"/>
        </w:rPr>
        <w:t xml:space="preserve"> interface at FR1 as below</w:t>
      </w:r>
    </w:p>
    <w:p w:rsidR="004222A0" w:rsidRPr="00792AC6" w:rsidRDefault="004222A0">
      <w:pPr>
        <w:jc w:val="both"/>
        <w:rPr>
          <w:rFonts w:ascii="Calibri" w:eastAsia="Calibri" w:hAnsi="Calibri" w:cs="Calibri"/>
          <w:sz w:val="22"/>
          <w:szCs w:val="22"/>
        </w:rPr>
      </w:pPr>
    </w:p>
    <w:p w:rsidR="004222A0" w:rsidRDefault="007627E0">
      <w:pPr>
        <w:jc w:val="both"/>
        <w:rPr>
          <w:rFonts w:ascii="Calibri" w:eastAsia="Calibri" w:hAnsi="Calibri" w:cs="Calibri"/>
          <w:sz w:val="22"/>
          <w:szCs w:val="22"/>
        </w:rPr>
      </w:pPr>
      <w:r>
        <w:rPr>
          <w:rFonts w:ascii="Calibri" w:eastAsia="Calibri" w:hAnsi="Calibri" w:cs="Calibri"/>
          <w:b/>
          <w:sz w:val="22"/>
          <w:szCs w:val="22"/>
        </w:rPr>
        <w:t>Proposal 1</w:t>
      </w:r>
      <w:r>
        <w:rPr>
          <w:rFonts w:ascii="Calibri" w:eastAsia="Calibri" w:hAnsi="Calibri" w:cs="Calibri"/>
          <w:sz w:val="22"/>
          <w:szCs w:val="22"/>
        </w:rPr>
        <w:t xml:space="preserve">: </w:t>
      </w:r>
      <w:r w:rsidR="00F040EC">
        <w:rPr>
          <w:rFonts w:ascii="Calibri" w:eastAsia="Calibri" w:hAnsi="Calibri" w:cs="Calibri"/>
          <w:sz w:val="22"/>
          <w:szCs w:val="22"/>
        </w:rPr>
        <w:t>RAN WG4 can allow</w:t>
      </w:r>
      <w:r w:rsidR="00583F9B">
        <w:rPr>
          <w:rFonts w:ascii="Calibri" w:eastAsia="Calibri" w:hAnsi="Calibri" w:cs="Calibri"/>
          <w:sz w:val="22"/>
          <w:szCs w:val="22"/>
        </w:rPr>
        <w:t xml:space="preserve"> the 2RX REFSENS requirements for NR based V2X services for </w:t>
      </w:r>
      <w:proofErr w:type="spellStart"/>
      <w:r w:rsidR="00583F9B">
        <w:rPr>
          <w:rFonts w:ascii="Calibri" w:eastAsia="Calibri" w:hAnsi="Calibri" w:cs="Calibri"/>
          <w:sz w:val="22"/>
          <w:szCs w:val="22"/>
        </w:rPr>
        <w:t>Uu</w:t>
      </w:r>
      <w:proofErr w:type="spellEnd"/>
      <w:r w:rsidR="00583F9B">
        <w:rPr>
          <w:rFonts w:ascii="Calibri" w:eastAsia="Calibri" w:hAnsi="Calibri" w:cs="Calibri"/>
          <w:sz w:val="22"/>
          <w:szCs w:val="22"/>
        </w:rPr>
        <w:t xml:space="preserve"> interface at FR1</w:t>
      </w:r>
      <w:r w:rsidR="001E7EE0">
        <w:rPr>
          <w:rFonts w:ascii="Calibri" w:eastAsia="Calibri" w:hAnsi="Calibri" w:cs="Calibri"/>
          <w:sz w:val="22"/>
          <w:szCs w:val="22"/>
        </w:rPr>
        <w:t xml:space="preserve">, </w:t>
      </w:r>
      <w:r w:rsidR="006F480A">
        <w:rPr>
          <w:rFonts w:ascii="Calibri" w:eastAsia="Calibri" w:hAnsi="Calibri" w:cs="Calibri"/>
          <w:sz w:val="22"/>
          <w:szCs w:val="22"/>
        </w:rPr>
        <w:t>exceptionally</w:t>
      </w:r>
      <w:r w:rsidR="0060133F">
        <w:rPr>
          <w:rFonts w:ascii="Calibri" w:eastAsia="Calibri" w:hAnsi="Calibri" w:cs="Calibri"/>
          <w:sz w:val="22"/>
          <w:szCs w:val="22"/>
        </w:rPr>
        <w:t>.</w:t>
      </w:r>
      <w:bookmarkStart w:id="1" w:name="_GoBack"/>
      <w:bookmarkEnd w:id="1"/>
    </w:p>
    <w:p w:rsidR="004222A0" w:rsidRPr="006F480A" w:rsidRDefault="004222A0">
      <w:pPr>
        <w:jc w:val="both"/>
        <w:rPr>
          <w:rFonts w:ascii="Calibri" w:hAnsi="Calibri" w:cs="Calibri"/>
          <w:sz w:val="22"/>
          <w:szCs w:val="22"/>
        </w:rPr>
      </w:pPr>
    </w:p>
    <w:p w:rsidR="004222A0" w:rsidRDefault="007627E0">
      <w:pPr>
        <w:pStyle w:val="1"/>
        <w:numPr>
          <w:ilvl w:val="0"/>
          <w:numId w:val="4"/>
        </w:numPr>
        <w:jc w:val="both"/>
        <w:rPr>
          <w:sz w:val="32"/>
          <w:szCs w:val="32"/>
        </w:rPr>
      </w:pPr>
      <w:r>
        <w:rPr>
          <w:sz w:val="32"/>
          <w:szCs w:val="32"/>
        </w:rPr>
        <w:t xml:space="preserve">Conclusion </w:t>
      </w:r>
    </w:p>
    <w:p w:rsidR="004222A0" w:rsidRDefault="006F480A">
      <w:pPr>
        <w:jc w:val="both"/>
        <w:rPr>
          <w:rFonts w:ascii="Calibri" w:eastAsia="Calibri" w:hAnsi="Calibri" w:cs="Calibri"/>
          <w:sz w:val="22"/>
          <w:szCs w:val="22"/>
        </w:rPr>
      </w:pPr>
      <w:r>
        <w:rPr>
          <w:rFonts w:ascii="Calibri" w:eastAsia="Calibri" w:hAnsi="Calibri" w:cs="Calibri"/>
          <w:sz w:val="22"/>
          <w:szCs w:val="22"/>
        </w:rPr>
        <w:t>In t</w:t>
      </w:r>
      <w:r w:rsidR="007627E0">
        <w:rPr>
          <w:rFonts w:ascii="Calibri" w:eastAsia="Calibri" w:hAnsi="Calibri" w:cs="Calibri"/>
          <w:sz w:val="22"/>
          <w:szCs w:val="22"/>
        </w:rPr>
        <w:t>his paper</w:t>
      </w:r>
      <w:r>
        <w:rPr>
          <w:rFonts w:ascii="Calibri" w:eastAsia="Calibri" w:hAnsi="Calibri" w:cs="Calibri"/>
          <w:sz w:val="22"/>
          <w:szCs w:val="22"/>
        </w:rPr>
        <w:t>, we present the a</w:t>
      </w:r>
      <w:r w:rsidR="007627E0">
        <w:rPr>
          <w:rFonts w:ascii="Calibri" w:eastAsia="Calibri" w:hAnsi="Calibri" w:cs="Calibri"/>
          <w:sz w:val="22"/>
          <w:szCs w:val="22"/>
        </w:rPr>
        <w:t>nalysis of coverage of vehicle UE with less number of RX antennas</w:t>
      </w:r>
      <w:r>
        <w:rPr>
          <w:rFonts w:ascii="Calibri" w:eastAsia="Calibri" w:hAnsi="Calibri" w:cs="Calibri"/>
          <w:sz w:val="22"/>
          <w:szCs w:val="22"/>
        </w:rPr>
        <w:t>.</w:t>
      </w:r>
      <w:r w:rsidR="007627E0">
        <w:rPr>
          <w:rFonts w:ascii="Calibri" w:eastAsia="Calibri" w:hAnsi="Calibri" w:cs="Calibri"/>
          <w:sz w:val="22"/>
          <w:szCs w:val="22"/>
        </w:rPr>
        <w:t xml:space="preserve"> Based on the discussion, </w:t>
      </w:r>
      <w:r w:rsidR="001E7EE0">
        <w:rPr>
          <w:rFonts w:ascii="Calibri" w:eastAsia="Calibri" w:hAnsi="Calibri" w:cs="Calibri"/>
          <w:sz w:val="22"/>
          <w:szCs w:val="22"/>
        </w:rPr>
        <w:t>we propose as follow</w:t>
      </w:r>
    </w:p>
    <w:p w:rsidR="001E7EE0" w:rsidRDefault="001E7EE0" w:rsidP="001E7EE0">
      <w:pPr>
        <w:jc w:val="both"/>
        <w:rPr>
          <w:rFonts w:ascii="Calibri" w:eastAsia="Calibri" w:hAnsi="Calibri" w:cs="Calibri"/>
          <w:sz w:val="22"/>
          <w:szCs w:val="22"/>
        </w:rPr>
      </w:pPr>
      <w:r>
        <w:rPr>
          <w:rFonts w:ascii="Calibri" w:eastAsia="Calibri" w:hAnsi="Calibri" w:cs="Calibri"/>
          <w:b/>
          <w:sz w:val="22"/>
          <w:szCs w:val="22"/>
        </w:rPr>
        <w:t>Proposal 1</w:t>
      </w:r>
      <w:r>
        <w:rPr>
          <w:rFonts w:ascii="Calibri" w:eastAsia="Calibri" w:hAnsi="Calibri" w:cs="Calibri"/>
          <w:sz w:val="22"/>
          <w:szCs w:val="22"/>
        </w:rPr>
        <w:t xml:space="preserve">: </w:t>
      </w:r>
      <w:r w:rsidR="00F040EC">
        <w:rPr>
          <w:rFonts w:ascii="Calibri" w:eastAsia="Calibri" w:hAnsi="Calibri" w:cs="Calibri"/>
          <w:sz w:val="22"/>
          <w:szCs w:val="22"/>
        </w:rPr>
        <w:t>RAN WG4 can allow</w:t>
      </w:r>
      <w:r>
        <w:rPr>
          <w:rFonts w:ascii="Calibri" w:eastAsia="Calibri" w:hAnsi="Calibri" w:cs="Calibri"/>
          <w:sz w:val="22"/>
          <w:szCs w:val="22"/>
        </w:rPr>
        <w:t xml:space="preserve"> the 2RX REFSENS requirements for NR based V2X services for </w:t>
      </w:r>
      <w:proofErr w:type="spellStart"/>
      <w:r>
        <w:rPr>
          <w:rFonts w:ascii="Calibri" w:eastAsia="Calibri" w:hAnsi="Calibri" w:cs="Calibri"/>
          <w:sz w:val="22"/>
          <w:szCs w:val="22"/>
        </w:rPr>
        <w:t>Uu</w:t>
      </w:r>
      <w:proofErr w:type="spellEnd"/>
      <w:r>
        <w:rPr>
          <w:rFonts w:ascii="Calibri" w:eastAsia="Calibri" w:hAnsi="Calibri" w:cs="Calibri"/>
          <w:sz w:val="22"/>
          <w:szCs w:val="22"/>
        </w:rPr>
        <w:t xml:space="preserve"> interface at FR1, exceptionally. </w:t>
      </w:r>
    </w:p>
    <w:p w:rsidR="001E7EE0" w:rsidRDefault="001E7EE0" w:rsidP="001E7EE0">
      <w:pPr>
        <w:jc w:val="both"/>
        <w:rPr>
          <w:rFonts w:ascii="Calibri" w:eastAsia="Calibri" w:hAnsi="Calibri" w:cs="Calibri"/>
          <w:sz w:val="22"/>
          <w:szCs w:val="22"/>
        </w:rPr>
      </w:pPr>
    </w:p>
    <w:p w:rsidR="001E7EE0" w:rsidRPr="001E7EE0" w:rsidRDefault="001E7EE0" w:rsidP="001E7EE0">
      <w:pPr>
        <w:jc w:val="both"/>
        <w:rPr>
          <w:rFonts w:ascii="Calibri" w:eastAsia="Calibri" w:hAnsi="Calibri" w:cs="Calibri"/>
          <w:b/>
          <w:sz w:val="32"/>
          <w:szCs w:val="22"/>
        </w:rPr>
      </w:pPr>
      <w:r w:rsidRPr="001E7EE0">
        <w:rPr>
          <w:rFonts w:ascii="Calibri" w:eastAsia="Calibri" w:hAnsi="Calibri" w:cs="Calibri"/>
          <w:b/>
          <w:sz w:val="32"/>
          <w:szCs w:val="22"/>
        </w:rPr>
        <w:t>Reference</w:t>
      </w:r>
    </w:p>
    <w:p w:rsidR="004222A0" w:rsidRDefault="007627E0">
      <w:pPr>
        <w:jc w:val="both"/>
        <w:rPr>
          <w:rFonts w:ascii="Calibri" w:eastAsia="Calibri" w:hAnsi="Calibri" w:cs="Calibri"/>
          <w:sz w:val="22"/>
          <w:szCs w:val="22"/>
        </w:rPr>
      </w:pPr>
      <w:r>
        <w:rPr>
          <w:rFonts w:ascii="Calibri" w:eastAsia="Calibri" w:hAnsi="Calibri" w:cs="Calibri"/>
          <w:sz w:val="22"/>
          <w:szCs w:val="22"/>
        </w:rPr>
        <w:t xml:space="preserve">[1] </w:t>
      </w:r>
      <w:r w:rsidR="001434ED">
        <w:rPr>
          <w:rFonts w:ascii="Calibri" w:eastAsia="Calibri" w:hAnsi="Calibri" w:cs="Calibri"/>
          <w:sz w:val="22"/>
          <w:szCs w:val="22"/>
        </w:rPr>
        <w:t xml:space="preserve">R4-180xxxx, “LS on </w:t>
      </w:r>
      <w:r w:rsidR="001434ED">
        <w:rPr>
          <w:rFonts w:ascii="Arial" w:hAnsi="Arial" w:cs="Arial"/>
        </w:rPr>
        <w:t>minimum number of RX antennae for NR vehicular UEs</w:t>
      </w:r>
      <w:r w:rsidR="001434ED">
        <w:rPr>
          <w:rFonts w:ascii="Calibri" w:eastAsia="Calibri" w:hAnsi="Calibri" w:cs="Calibri"/>
          <w:sz w:val="22"/>
          <w:szCs w:val="22"/>
        </w:rPr>
        <w:t xml:space="preserve">”, </w:t>
      </w:r>
      <w:r w:rsidR="001434ED">
        <w:rPr>
          <w:rFonts w:ascii="Arial" w:hAnsi="Arial" w:cs="Arial"/>
        </w:rPr>
        <w:t>5GAA</w:t>
      </w:r>
      <w:r w:rsidR="001434ED" w:rsidRPr="001E7EE0">
        <w:rPr>
          <w:rFonts w:ascii="Calibri" w:eastAsia="Calibri" w:hAnsi="Calibri" w:cs="Calibri"/>
          <w:sz w:val="22"/>
          <w:szCs w:val="22"/>
        </w:rPr>
        <w:t xml:space="preserve"> </w:t>
      </w:r>
      <w:r w:rsidR="001434ED">
        <w:rPr>
          <w:rFonts w:ascii="Calibri" w:eastAsia="Calibri" w:hAnsi="Calibri" w:cs="Calibri"/>
          <w:sz w:val="22"/>
          <w:szCs w:val="22"/>
        </w:rPr>
        <w:t xml:space="preserve"> </w:t>
      </w:r>
    </w:p>
    <w:p w:rsidR="004222A0" w:rsidRDefault="007627E0" w:rsidP="001E7EE0">
      <w:pPr>
        <w:jc w:val="both"/>
        <w:rPr>
          <w:rFonts w:ascii="Arial" w:hAnsi="Arial" w:cs="Arial"/>
        </w:rPr>
      </w:pPr>
      <w:r>
        <w:rPr>
          <w:rFonts w:ascii="Calibri" w:eastAsia="Calibri" w:hAnsi="Calibri" w:cs="Calibri"/>
          <w:sz w:val="22"/>
          <w:szCs w:val="22"/>
        </w:rPr>
        <w:t xml:space="preserve">[2] </w:t>
      </w:r>
      <w:r w:rsidR="001434ED" w:rsidRPr="001E7EE0">
        <w:rPr>
          <w:rFonts w:ascii="Calibri" w:eastAsia="Calibri" w:hAnsi="Calibri" w:cs="Calibri"/>
          <w:sz w:val="22"/>
          <w:szCs w:val="22"/>
        </w:rPr>
        <w:t>RP-172788 "Mandatory 4Rx antenna performance for NR UE”, 3GPP RAN#78</w:t>
      </w:r>
    </w:p>
    <w:p w:rsidR="001E7EE0" w:rsidRPr="001E7EE0" w:rsidRDefault="001E7EE0" w:rsidP="001E7EE0">
      <w:pPr>
        <w:jc w:val="both"/>
        <w:rPr>
          <w:rFonts w:ascii="Calibri" w:eastAsia="Calibri" w:hAnsi="Calibri" w:cs="Calibri"/>
          <w:sz w:val="22"/>
          <w:szCs w:val="22"/>
        </w:rPr>
      </w:pPr>
      <w:r w:rsidRPr="001E7EE0">
        <w:rPr>
          <w:rFonts w:ascii="Calibri" w:eastAsia="Calibri" w:hAnsi="Calibri" w:cs="Calibri"/>
          <w:sz w:val="22"/>
          <w:szCs w:val="22"/>
        </w:rPr>
        <w:t xml:space="preserve">[3] </w:t>
      </w:r>
      <w:r>
        <w:rPr>
          <w:rFonts w:ascii="Calibri" w:eastAsia="Calibri" w:hAnsi="Calibri" w:cs="Calibri"/>
          <w:sz w:val="22"/>
          <w:szCs w:val="22"/>
        </w:rPr>
        <w:t>R4-180xxxx, “Draft CR</w:t>
      </w:r>
      <w:r w:rsidRPr="001E7EE0">
        <w:rPr>
          <w:rFonts w:ascii="Calibri" w:eastAsia="Calibri" w:hAnsi="Calibri" w:cs="Calibri"/>
          <w:sz w:val="22"/>
          <w:szCs w:val="22"/>
        </w:rPr>
        <w:t xml:space="preserve"> on REFSENS requirements for NR vehicular UE at FR1</w:t>
      </w:r>
      <w:r>
        <w:rPr>
          <w:rFonts w:ascii="Calibri" w:eastAsia="Calibri" w:hAnsi="Calibri" w:cs="Calibri"/>
          <w:sz w:val="22"/>
          <w:szCs w:val="22"/>
        </w:rPr>
        <w:t>”, LG Electronics</w:t>
      </w:r>
    </w:p>
    <w:sectPr w:rsidR="001E7EE0" w:rsidRPr="001E7EE0">
      <w:headerReference w:type="default" r:id="rId9"/>
      <w:pgSz w:w="11907" w:h="16839"/>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D1B" w:rsidRDefault="00CD0D1B">
      <w:pPr>
        <w:spacing w:after="0"/>
      </w:pPr>
      <w:r>
        <w:separator/>
      </w:r>
    </w:p>
  </w:endnote>
  <w:endnote w:type="continuationSeparator" w:id="0">
    <w:p w:rsidR="00CD0D1B" w:rsidRDefault="00CD0D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Georgia">
    <w:panose1 w:val="02040502050405020303"/>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D1B" w:rsidRDefault="00CD0D1B">
      <w:pPr>
        <w:spacing w:after="0"/>
      </w:pPr>
      <w:r>
        <w:separator/>
      </w:r>
    </w:p>
  </w:footnote>
  <w:footnote w:type="continuationSeparator" w:id="0">
    <w:p w:rsidR="00CD0D1B" w:rsidRDefault="00CD0D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2A0" w:rsidRDefault="007627E0">
    <w:pPr>
      <w:widowControl w:val="0"/>
      <w:spacing w:after="0"/>
      <w:rPr>
        <w:rFonts w:ascii="Arial" w:eastAsia="Arial" w:hAnsi="Arial" w:cs="Arial"/>
        <w:b/>
        <w:sz w:val="18"/>
        <w:szCs w:val="18"/>
      </w:rPr>
    </w:pPr>
    <w:r>
      <w:rPr>
        <w:rFonts w:ascii="Arial" w:eastAsia="Arial" w:hAnsi="Arial" w:cs="Arial"/>
        <w:b/>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20F15"/>
    <w:multiLevelType w:val="multilevel"/>
    <w:tmpl w:val="89482DAE"/>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 w15:restartNumberingAfterBreak="0">
    <w:nsid w:val="07E03BA0"/>
    <w:multiLevelType w:val="hybridMultilevel"/>
    <w:tmpl w:val="D5C459B6"/>
    <w:lvl w:ilvl="0" w:tplc="62DCF828">
      <w:start w:val="3"/>
      <w:numFmt w:val="decimal"/>
      <w:lvlText w:val="%1-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E951FC4"/>
    <w:multiLevelType w:val="multilevel"/>
    <w:tmpl w:val="BDDC51A8"/>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3" w15:restartNumberingAfterBreak="0">
    <w:nsid w:val="310722B2"/>
    <w:multiLevelType w:val="hybridMultilevel"/>
    <w:tmpl w:val="36A00704"/>
    <w:lvl w:ilvl="0" w:tplc="BE740FD2">
      <w:start w:val="15"/>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51F7A8D"/>
    <w:multiLevelType w:val="multilevel"/>
    <w:tmpl w:val="89F86BCE"/>
    <w:lvl w:ilvl="0">
      <w:start w:val="1"/>
      <w:numFmt w:val="decimal"/>
      <w:lvlText w:val="%1"/>
      <w:lvlJc w:val="left"/>
      <w:pPr>
        <w:ind w:left="432" w:hanging="432"/>
      </w:pPr>
      <w:rPr>
        <w:u w:val="none"/>
      </w:rPr>
    </w:lvl>
    <w:lvl w:ilvl="1">
      <w:start w:val="1"/>
      <w:numFmt w:val="decimal"/>
      <w:lvlText w:val="%1.%2"/>
      <w:lvlJc w:val="left"/>
      <w:pPr>
        <w:ind w:left="860" w:hanging="576"/>
      </w:pPr>
      <w:rPr>
        <w:b w:val="0"/>
        <w:i w:val="0"/>
        <w:color w:val="000000"/>
        <w:sz w:val="32"/>
        <w:szCs w:val="32"/>
        <w:u w:val="none"/>
      </w:rPr>
    </w:lvl>
    <w:lvl w:ilvl="2">
      <w:start w:val="1"/>
      <w:numFmt w:val="decimal"/>
      <w:lvlText w:val="%1.%2.%3"/>
      <w:lvlJc w:val="left"/>
      <w:pPr>
        <w:ind w:left="720" w:hanging="720"/>
      </w:pPr>
      <w:rPr>
        <w:u w:val="none"/>
      </w:rPr>
    </w:lvl>
    <w:lvl w:ilvl="3">
      <w:start w:val="1"/>
      <w:numFmt w:val="decimal"/>
      <w:lvlText w:val="%1.%2.%3.%4"/>
      <w:lvlJc w:val="left"/>
      <w:pPr>
        <w:ind w:left="864" w:hanging="864"/>
      </w:pPr>
      <w:rPr>
        <w:u w:val="none"/>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BD324C0"/>
    <w:multiLevelType w:val="hybridMultilevel"/>
    <w:tmpl w:val="2AB49D9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A717270"/>
    <w:multiLevelType w:val="multilevel"/>
    <w:tmpl w:val="0CD0C4D4"/>
    <w:lvl w:ilvl="0">
      <w:start w:val="1"/>
      <w:numFmt w:val="bullet"/>
      <w:lvlText w:val="-"/>
      <w:lvlJc w:val="left"/>
      <w:pPr>
        <w:ind w:left="800" w:hanging="400"/>
      </w:pPr>
      <w:rPr>
        <w:rFonts w:ascii="Times New Roman" w:eastAsia="Times New Roman" w:hAnsi="Times New Roman" w:cs="Times New Roman"/>
      </w:rPr>
    </w:lvl>
    <w:lvl w:ilvl="1">
      <w:start w:val="1"/>
      <w:numFmt w:val="bullet"/>
      <w:lvlText w:val="■"/>
      <w:lvlJc w:val="left"/>
      <w:pPr>
        <w:ind w:left="1200" w:hanging="400"/>
      </w:pPr>
      <w:rPr>
        <w:rFonts w:ascii="Noto Sans Symbols" w:eastAsia="Noto Sans Symbols" w:hAnsi="Noto Sans Symbols" w:cs="Noto Sans Symbols"/>
      </w:rPr>
    </w:lvl>
    <w:lvl w:ilvl="2">
      <w:start w:val="1"/>
      <w:numFmt w:val="bullet"/>
      <w:lvlText w:val="◆"/>
      <w:lvlJc w:val="left"/>
      <w:pPr>
        <w:ind w:left="1600" w:hanging="400"/>
      </w:pPr>
      <w:rPr>
        <w:rFonts w:ascii="Noto Sans Symbols" w:eastAsia="Noto Sans Symbols" w:hAnsi="Noto Sans Symbols" w:cs="Noto Sans Symbols"/>
      </w:rPr>
    </w:lvl>
    <w:lvl w:ilvl="3">
      <w:start w:val="1"/>
      <w:numFmt w:val="bullet"/>
      <w:lvlText w:val="●"/>
      <w:lvlJc w:val="left"/>
      <w:pPr>
        <w:ind w:left="2000" w:hanging="400"/>
      </w:pPr>
      <w:rPr>
        <w:rFonts w:ascii="Noto Sans Symbols" w:eastAsia="Noto Sans Symbols" w:hAnsi="Noto Sans Symbols" w:cs="Noto Sans Symbols"/>
      </w:rPr>
    </w:lvl>
    <w:lvl w:ilvl="4">
      <w:start w:val="1"/>
      <w:numFmt w:val="bullet"/>
      <w:lvlText w:val="■"/>
      <w:lvlJc w:val="left"/>
      <w:pPr>
        <w:ind w:left="2400" w:hanging="400"/>
      </w:pPr>
      <w:rPr>
        <w:rFonts w:ascii="Noto Sans Symbols" w:eastAsia="Noto Sans Symbols" w:hAnsi="Noto Sans Symbols" w:cs="Noto Sans Symbols"/>
      </w:rPr>
    </w:lvl>
    <w:lvl w:ilvl="5">
      <w:start w:val="1"/>
      <w:numFmt w:val="bullet"/>
      <w:lvlText w:val="◆"/>
      <w:lvlJc w:val="left"/>
      <w:pPr>
        <w:ind w:left="2800" w:hanging="400"/>
      </w:pPr>
      <w:rPr>
        <w:rFonts w:ascii="Noto Sans Symbols" w:eastAsia="Noto Sans Symbols" w:hAnsi="Noto Sans Symbols" w:cs="Noto Sans Symbols"/>
      </w:rPr>
    </w:lvl>
    <w:lvl w:ilvl="6">
      <w:start w:val="1"/>
      <w:numFmt w:val="bullet"/>
      <w:lvlText w:val="●"/>
      <w:lvlJc w:val="left"/>
      <w:pPr>
        <w:ind w:left="3200" w:hanging="400"/>
      </w:pPr>
      <w:rPr>
        <w:rFonts w:ascii="Noto Sans Symbols" w:eastAsia="Noto Sans Symbols" w:hAnsi="Noto Sans Symbols" w:cs="Noto Sans Symbols"/>
      </w:rPr>
    </w:lvl>
    <w:lvl w:ilvl="7">
      <w:start w:val="1"/>
      <w:numFmt w:val="bullet"/>
      <w:lvlText w:val="■"/>
      <w:lvlJc w:val="left"/>
      <w:pPr>
        <w:ind w:left="3600" w:hanging="400"/>
      </w:pPr>
      <w:rPr>
        <w:rFonts w:ascii="Noto Sans Symbols" w:eastAsia="Noto Sans Symbols" w:hAnsi="Noto Sans Symbols" w:cs="Noto Sans Symbols"/>
      </w:rPr>
    </w:lvl>
    <w:lvl w:ilvl="8">
      <w:start w:val="1"/>
      <w:numFmt w:val="bullet"/>
      <w:lvlText w:val="◆"/>
      <w:lvlJc w:val="left"/>
      <w:pPr>
        <w:ind w:left="4000" w:hanging="400"/>
      </w:pPr>
      <w:rPr>
        <w:rFonts w:ascii="Noto Sans Symbols" w:eastAsia="Noto Sans Symbols" w:hAnsi="Noto Sans Symbols" w:cs="Noto Sans Symbols"/>
      </w:rPr>
    </w:lvl>
  </w:abstractNum>
  <w:num w:numId="1">
    <w:abstractNumId w:val="2"/>
  </w:num>
  <w:num w:numId="2">
    <w:abstractNumId w:val="0"/>
  </w:num>
  <w:num w:numId="3">
    <w:abstractNumId w:val="6"/>
  </w:num>
  <w:num w:numId="4">
    <w:abstractNumId w:val="4"/>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2A0"/>
    <w:rsid w:val="000369D6"/>
    <w:rsid w:val="00081881"/>
    <w:rsid w:val="001434ED"/>
    <w:rsid w:val="001E7EE0"/>
    <w:rsid w:val="00332052"/>
    <w:rsid w:val="00370F99"/>
    <w:rsid w:val="003B74FE"/>
    <w:rsid w:val="004222A0"/>
    <w:rsid w:val="00583F9B"/>
    <w:rsid w:val="005D464E"/>
    <w:rsid w:val="0060133F"/>
    <w:rsid w:val="00604C7A"/>
    <w:rsid w:val="006E3FD1"/>
    <w:rsid w:val="006E5307"/>
    <w:rsid w:val="006F480A"/>
    <w:rsid w:val="007627E0"/>
    <w:rsid w:val="00773F25"/>
    <w:rsid w:val="00792AC6"/>
    <w:rsid w:val="007C57E0"/>
    <w:rsid w:val="00813CD4"/>
    <w:rsid w:val="008A4500"/>
    <w:rsid w:val="009F23A4"/>
    <w:rsid w:val="00A90101"/>
    <w:rsid w:val="00B91EC1"/>
    <w:rsid w:val="00CD0D1B"/>
    <w:rsid w:val="00D726BB"/>
    <w:rsid w:val="00E55C94"/>
    <w:rsid w:val="00F040EC"/>
    <w:rsid w:val="00FB661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5831E9-2892-47EC-A881-89B68BBF8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color w:val="000000"/>
        <w:lang w:val="en-GB" w:eastAsia="ko-KR" w:bidi="ar-SA"/>
      </w:rPr>
    </w:rPrDefault>
    <w:pPrDefault>
      <w:pPr>
        <w:pBdr>
          <w:top w:val="nil"/>
          <w:left w:val="nil"/>
          <w:bottom w:val="nil"/>
          <w:right w:val="nil"/>
          <w:between w:val="nil"/>
        </w:pBdr>
        <w:spacing w:after="18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pBdr>
        <w:top w:val="single" w:sz="12" w:space="3" w:color="000000"/>
      </w:pBdr>
      <w:spacing w:before="240"/>
      <w:ind w:left="432" w:hanging="432"/>
      <w:outlineLvl w:val="0"/>
    </w:pPr>
    <w:rPr>
      <w:rFonts w:ascii="Arial" w:eastAsia="Arial" w:hAnsi="Arial" w:cs="Arial"/>
      <w:sz w:val="36"/>
      <w:szCs w:val="36"/>
    </w:rPr>
  </w:style>
  <w:style w:type="paragraph" w:styleId="2">
    <w:name w:val="heading 2"/>
    <w:basedOn w:val="a"/>
    <w:next w:val="a"/>
    <w:pPr>
      <w:keepNext/>
      <w:keepLines/>
      <w:pBdr>
        <w:top w:val="none" w:sz="0" w:space="0" w:color="000000"/>
      </w:pBdr>
      <w:spacing w:before="180"/>
      <w:ind w:left="578" w:hanging="578"/>
      <w:outlineLvl w:val="1"/>
    </w:pPr>
    <w:rPr>
      <w:rFonts w:ascii="Arial" w:eastAsia="Arial" w:hAnsi="Arial" w:cs="Arial"/>
      <w:sz w:val="32"/>
      <w:szCs w:val="32"/>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qFormat/>
    <w:pPr>
      <w:keepNext/>
      <w:keepLines/>
      <w:pBdr>
        <w:top w:val="none" w:sz="0" w:space="0" w:color="000000"/>
      </w:pBdr>
      <w:spacing w:before="120"/>
      <w:ind w:left="578" w:hanging="578"/>
      <w:outlineLvl w:val="2"/>
    </w:pPr>
    <w:rPr>
      <w:rFonts w:ascii="Arial" w:eastAsia="Arial" w:hAnsi="Arial" w:cs="Arial"/>
      <w:sz w:val="28"/>
      <w:szCs w:val="28"/>
    </w:rPr>
  </w:style>
  <w:style w:type="paragraph" w:styleId="4">
    <w:name w:val="heading 4"/>
    <w:basedOn w:val="a"/>
    <w:next w:val="a"/>
    <w:pPr>
      <w:keepNext/>
      <w:keepLines/>
      <w:pBdr>
        <w:top w:val="none" w:sz="0" w:space="0" w:color="000000"/>
      </w:pBdr>
      <w:spacing w:before="120"/>
      <w:ind w:left="578" w:hanging="578"/>
      <w:outlineLvl w:val="3"/>
    </w:pPr>
    <w:rPr>
      <w:rFonts w:ascii="Arial" w:eastAsia="Arial" w:hAnsi="Arial" w:cs="Arial"/>
      <w:sz w:val="24"/>
      <w:szCs w:val="24"/>
    </w:rPr>
  </w:style>
  <w:style w:type="paragraph" w:styleId="5">
    <w:name w:val="heading 5"/>
    <w:basedOn w:val="a"/>
    <w:next w:val="a"/>
    <w:pPr>
      <w:keepNext/>
      <w:keepLines/>
      <w:pBdr>
        <w:top w:val="none" w:sz="0" w:space="0" w:color="000000"/>
      </w:pBdr>
      <w:spacing w:before="120"/>
      <w:ind w:left="578" w:hanging="578"/>
      <w:outlineLvl w:val="4"/>
    </w:pPr>
    <w:rPr>
      <w:rFonts w:ascii="Arial" w:eastAsia="Arial" w:hAnsi="Arial" w:cs="Arial"/>
      <w:sz w:val="22"/>
      <w:szCs w:val="22"/>
    </w:rPr>
  </w:style>
  <w:style w:type="paragraph" w:styleId="6">
    <w:name w:val="heading 6"/>
    <w:basedOn w:val="a"/>
    <w:next w:val="a"/>
    <w:pPr>
      <w:keepNext/>
      <w:keepLines/>
      <w:spacing w:before="120"/>
      <w:ind w:left="1152" w:hanging="1152"/>
      <w:outlineLvl w:val="5"/>
    </w:pPr>
    <w:rPr>
      <w:rFonts w:ascii="Arial" w:eastAsia="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pPr>
      <w:spacing w:after="0"/>
    </w:pPr>
    <w:tblPr>
      <w:tblStyleRowBandSize w:val="1"/>
      <w:tblStyleColBandSize w:val="1"/>
      <w:tblCellMar>
        <w:left w:w="108" w:type="dxa"/>
        <w:right w:w="108" w:type="dxa"/>
      </w:tblCellMar>
    </w:tblPr>
  </w:style>
  <w:style w:type="table" w:customStyle="1" w:styleId="a6">
    <w:basedOn w:val="TableNormal"/>
    <w:pPr>
      <w:spacing w:after="0"/>
    </w:pPr>
    <w:tblPr>
      <w:tblStyleRowBandSize w:val="1"/>
      <w:tblStyleColBandSize w:val="1"/>
      <w:tblCellMar>
        <w:left w:w="108" w:type="dxa"/>
        <w:right w:w="108" w:type="dxa"/>
      </w:tblCellMar>
    </w:tblPr>
  </w:style>
  <w:style w:type="table" w:customStyle="1" w:styleId="a7">
    <w:basedOn w:val="TableNormal"/>
    <w:pPr>
      <w:spacing w:after="0"/>
    </w:pPr>
    <w:tblPr>
      <w:tblStyleRowBandSize w:val="1"/>
      <w:tblStyleColBandSize w:val="1"/>
      <w:tblCellMar>
        <w:left w:w="108" w:type="dxa"/>
        <w:right w:w="108" w:type="dxa"/>
      </w:tblCellMar>
    </w:tblPr>
  </w:style>
  <w:style w:type="table" w:customStyle="1" w:styleId="a8">
    <w:basedOn w:val="TableNormal"/>
    <w:tblPr>
      <w:tblStyleRowBandSize w:val="1"/>
      <w:tblStyleColBandSize w:val="1"/>
    </w:tblPr>
  </w:style>
  <w:style w:type="character" w:styleId="a9">
    <w:name w:val="Placeholder Text"/>
    <w:basedOn w:val="a0"/>
    <w:uiPriority w:val="99"/>
    <w:semiHidden/>
    <w:rsid w:val="007C57E0"/>
    <w:rPr>
      <w:color w:val="808080"/>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370F99"/>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rsid w:val="00370F99"/>
  </w:style>
  <w:style w:type="paragraph" w:styleId="ab">
    <w:name w:val="footer"/>
    <w:basedOn w:val="a"/>
    <w:link w:val="Char0"/>
    <w:uiPriority w:val="99"/>
    <w:unhideWhenUsed/>
    <w:rsid w:val="00370F99"/>
    <w:pPr>
      <w:tabs>
        <w:tab w:val="center" w:pos="4513"/>
        <w:tab w:val="right" w:pos="9026"/>
      </w:tabs>
      <w:snapToGrid w:val="0"/>
    </w:pPr>
  </w:style>
  <w:style w:type="character" w:customStyle="1" w:styleId="Char0">
    <w:name w:val="바닥글 Char"/>
    <w:basedOn w:val="a0"/>
    <w:link w:val="ab"/>
    <w:uiPriority w:val="99"/>
    <w:rsid w:val="00370F99"/>
  </w:style>
  <w:style w:type="character" w:styleId="ac">
    <w:name w:val="Subtle Emphasis"/>
    <w:basedOn w:val="a0"/>
    <w:uiPriority w:val="19"/>
    <w:qFormat/>
    <w:rsid w:val="00FB6617"/>
    <w:rPr>
      <w:i/>
      <w:iCs/>
      <w:color w:val="404040" w:themeColor="text1" w:themeTint="BF"/>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FB6617"/>
    <w:rPr>
      <w:rFonts w:ascii="Arial" w:eastAsia="Arial" w:hAnsi="Arial" w:cs="Arial"/>
      <w:sz w:val="28"/>
      <w:szCs w:val="28"/>
    </w:rPr>
  </w:style>
  <w:style w:type="paragraph" w:styleId="ad">
    <w:name w:val="List Paragraph"/>
    <w:basedOn w:val="a"/>
    <w:uiPriority w:val="34"/>
    <w:qFormat/>
    <w:rsid w:val="00FB6617"/>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package" Target="embeddings/Microsoft_Visio____11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1142</Words>
  <Characters>6511</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정성훈/책임연구원/차세대표준(연)CAS팀(sunghoon.jung@lge.com)</dc:creator>
  <cp:lastModifiedBy>임수환/책임연구원/차세대표준(연)CAS팀(suhwan.lim@lge.com)</cp:lastModifiedBy>
  <cp:revision>3</cp:revision>
  <dcterms:created xsi:type="dcterms:W3CDTF">2018-05-13T07:00:00Z</dcterms:created>
  <dcterms:modified xsi:type="dcterms:W3CDTF">2018-05-14T12:00:00Z</dcterms:modified>
</cp:coreProperties>
</file>